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color w:val="4472c4"/>
          <w:sz w:val="32"/>
          <w:szCs w:val="32"/>
        </w:rPr>
      </w:pPr>
      <w:r w:rsidDel="00000000" w:rsidR="00000000" w:rsidRPr="00000000">
        <w:rPr>
          <w:rFonts w:ascii="Arial" w:cs="Arial" w:eastAsia="Arial" w:hAnsi="Arial"/>
          <w:b w:val="1"/>
          <w:color w:val="4472c4"/>
          <w:sz w:val="32"/>
          <w:szCs w:val="32"/>
          <w:rtl w:val="0"/>
        </w:rPr>
        <w:t xml:space="preserve">Pillar 5 - Harnessing Growth Tactics to Champion your Laboratory’s Goals</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Growing a clinical lab involves a combination of strategic planning, operational efficiency, and a focus on providing high-quality services. Here are several steps to advocate for and grow your clinical lab:</w:t>
      </w:r>
    </w:p>
    <w:p w:rsidR="00000000" w:rsidDel="00000000" w:rsidP="00000000" w:rsidRDefault="00000000" w:rsidRPr="00000000" w14:paraId="00000003">
      <w:pPr>
        <w:numPr>
          <w:ilvl w:val="0"/>
          <w:numId w:val="1"/>
        </w:numPr>
        <w:ind w:left="720" w:hanging="360"/>
        <w:rPr>
          <w:rFonts w:ascii="Arial" w:cs="Arial" w:eastAsia="Arial" w:hAnsi="Arial"/>
        </w:rPr>
      </w:pPr>
      <w:r w:rsidDel="00000000" w:rsidR="00000000" w:rsidRPr="00000000">
        <w:rPr>
          <w:rFonts w:ascii="Arial" w:cs="Arial" w:eastAsia="Arial" w:hAnsi="Arial"/>
          <w:b w:val="1"/>
          <w:rtl w:val="0"/>
        </w:rPr>
        <w:t xml:space="preserve">Identify Your Unique Selling Proposition (USP):</w:t>
      </w:r>
      <w:r w:rsidDel="00000000" w:rsidR="00000000" w:rsidRPr="00000000">
        <w:rPr>
          <w:rFonts w:ascii="Arial" w:cs="Arial" w:eastAsia="Arial" w:hAnsi="Arial"/>
          <w:rtl w:val="0"/>
        </w:rPr>
        <w:t xml:space="preserve"> Understand what sets your clinical lab apart from others. This could be specialized testing services, faster turnaround times, exceptional customer service, or specific expertise in certain areas. Highlighting your USP will help differentiate your lab in a competitive market.</w:t>
      </w:r>
    </w:p>
    <w:p w:rsidR="00000000" w:rsidDel="00000000" w:rsidP="00000000" w:rsidRDefault="00000000" w:rsidRPr="00000000" w14:paraId="00000004">
      <w:pPr>
        <w:numPr>
          <w:ilvl w:val="0"/>
          <w:numId w:val="1"/>
        </w:numPr>
        <w:ind w:left="720" w:hanging="360"/>
        <w:rPr>
          <w:rFonts w:ascii="Arial" w:cs="Arial" w:eastAsia="Arial" w:hAnsi="Arial"/>
        </w:rPr>
      </w:pPr>
      <w:r w:rsidDel="00000000" w:rsidR="00000000" w:rsidRPr="00000000">
        <w:rPr>
          <w:rFonts w:ascii="Arial" w:cs="Arial" w:eastAsia="Arial" w:hAnsi="Arial"/>
          <w:b w:val="1"/>
          <w:rtl w:val="0"/>
        </w:rPr>
        <w:t xml:space="preserve">Build Strong Relationships:</w:t>
      </w:r>
      <w:r w:rsidDel="00000000" w:rsidR="00000000" w:rsidRPr="00000000">
        <w:rPr>
          <w:rFonts w:ascii="Arial" w:cs="Arial" w:eastAsia="Arial" w:hAnsi="Arial"/>
          <w:rtl w:val="0"/>
        </w:rPr>
        <w:t xml:space="preserve"> Develop partnerships with healthcare providers, hospitals, clinics, and other organizations that rely on laboratory services. Offer reliable and accurate testing, and ensure timely communication of results. Building trust and rapport with clients can lead to repeat business and referrals.</w:t>
      </w:r>
    </w:p>
    <w:p w:rsidR="00000000" w:rsidDel="00000000" w:rsidP="00000000" w:rsidRDefault="00000000" w:rsidRPr="00000000" w14:paraId="00000005">
      <w:pPr>
        <w:numPr>
          <w:ilvl w:val="0"/>
          <w:numId w:val="1"/>
        </w:numPr>
        <w:ind w:left="720" w:hanging="360"/>
        <w:rPr>
          <w:rFonts w:ascii="Arial" w:cs="Arial" w:eastAsia="Arial" w:hAnsi="Arial"/>
        </w:rPr>
      </w:pPr>
      <w:r w:rsidDel="00000000" w:rsidR="00000000" w:rsidRPr="00000000">
        <w:rPr>
          <w:rFonts w:ascii="Arial" w:cs="Arial" w:eastAsia="Arial" w:hAnsi="Arial"/>
          <w:b w:val="1"/>
          <w:rtl w:val="0"/>
        </w:rPr>
        <w:t xml:space="preserve">Invest in Technology and Infrastructure:</w:t>
      </w:r>
      <w:r w:rsidDel="00000000" w:rsidR="00000000" w:rsidRPr="00000000">
        <w:rPr>
          <w:rFonts w:ascii="Arial" w:cs="Arial" w:eastAsia="Arial" w:hAnsi="Arial"/>
          <w:rtl w:val="0"/>
        </w:rPr>
        <w:t xml:space="preserve"> Stay updated with the latest advancements in laboratory technology and equipment. Investing in automation, digitalization, and quality control systems can improve efficiency, accuracy, and turnaround times, ultimately enhancing the value proposition for your clients.</w:t>
      </w:r>
    </w:p>
    <w:p w:rsidR="00000000" w:rsidDel="00000000" w:rsidP="00000000" w:rsidRDefault="00000000" w:rsidRPr="00000000" w14:paraId="00000006">
      <w:pPr>
        <w:numPr>
          <w:ilvl w:val="0"/>
          <w:numId w:val="1"/>
        </w:numPr>
        <w:ind w:left="720" w:hanging="360"/>
        <w:rPr>
          <w:rFonts w:ascii="Arial" w:cs="Arial" w:eastAsia="Arial" w:hAnsi="Arial"/>
        </w:rPr>
      </w:pPr>
      <w:r w:rsidDel="00000000" w:rsidR="00000000" w:rsidRPr="00000000">
        <w:rPr>
          <w:rFonts w:ascii="Arial" w:cs="Arial" w:eastAsia="Arial" w:hAnsi="Arial"/>
          <w:b w:val="1"/>
          <w:rtl w:val="0"/>
        </w:rPr>
        <w:t xml:space="preserve">Ensure Regulatory Compliance:</w:t>
      </w:r>
      <w:r w:rsidDel="00000000" w:rsidR="00000000" w:rsidRPr="00000000">
        <w:rPr>
          <w:rFonts w:ascii="Arial" w:cs="Arial" w:eastAsia="Arial" w:hAnsi="Arial"/>
          <w:rtl w:val="0"/>
        </w:rPr>
        <w:t xml:space="preserve"> Compliance with regulatory standards is crucial in the healthcare industry. Stay abreast of changes in regulations and standards applicable to clinical laboratories. Adhering to these requirements not only ensures patient safety but also builds credibility and trust with clients.</w:t>
      </w:r>
    </w:p>
    <w:p w:rsidR="00000000" w:rsidDel="00000000" w:rsidP="00000000" w:rsidRDefault="00000000" w:rsidRPr="00000000" w14:paraId="00000007">
      <w:pPr>
        <w:numPr>
          <w:ilvl w:val="0"/>
          <w:numId w:val="1"/>
        </w:numPr>
        <w:ind w:left="720" w:hanging="360"/>
        <w:rPr>
          <w:rFonts w:ascii="Arial" w:cs="Arial" w:eastAsia="Arial" w:hAnsi="Arial"/>
        </w:rPr>
      </w:pPr>
      <w:r w:rsidDel="00000000" w:rsidR="00000000" w:rsidRPr="00000000">
        <w:rPr>
          <w:rFonts w:ascii="Arial" w:cs="Arial" w:eastAsia="Arial" w:hAnsi="Arial"/>
          <w:b w:val="1"/>
          <w:rtl w:val="0"/>
        </w:rPr>
        <w:t xml:space="preserve">Market Your Services:</w:t>
      </w:r>
      <w:r w:rsidDel="00000000" w:rsidR="00000000" w:rsidRPr="00000000">
        <w:rPr>
          <w:rFonts w:ascii="Arial" w:cs="Arial" w:eastAsia="Arial" w:hAnsi="Arial"/>
          <w:rtl w:val="0"/>
        </w:rPr>
        <w:t xml:space="preserve"> Develop a robust marketing strategy to raise awareness about your lab's services. This could include creating a professional website, utilizing social media platforms, attending healthcare conferences, and distributing informative materials to potential clients. Highlight your lab's expertise, capabilities, and commitment to quality.</w:t>
      </w:r>
    </w:p>
    <w:p w:rsidR="00000000" w:rsidDel="00000000" w:rsidP="00000000" w:rsidRDefault="00000000" w:rsidRPr="00000000" w14:paraId="00000008">
      <w:pPr>
        <w:numPr>
          <w:ilvl w:val="0"/>
          <w:numId w:val="1"/>
        </w:numPr>
        <w:ind w:left="720" w:hanging="360"/>
        <w:rPr>
          <w:rFonts w:ascii="Arial" w:cs="Arial" w:eastAsia="Arial" w:hAnsi="Arial"/>
        </w:rPr>
      </w:pPr>
      <w:r w:rsidDel="00000000" w:rsidR="00000000" w:rsidRPr="00000000">
        <w:rPr>
          <w:rFonts w:ascii="Arial" w:cs="Arial" w:eastAsia="Arial" w:hAnsi="Arial"/>
          <w:b w:val="1"/>
          <w:rtl w:val="0"/>
        </w:rPr>
        <w:t xml:space="preserve">Offer Continuing Education and Training:</w:t>
      </w:r>
      <w:r w:rsidDel="00000000" w:rsidR="00000000" w:rsidRPr="00000000">
        <w:rPr>
          <w:rFonts w:ascii="Arial" w:cs="Arial" w:eastAsia="Arial" w:hAnsi="Arial"/>
          <w:rtl w:val="0"/>
        </w:rPr>
        <w:t xml:space="preserve"> Invest in the professional development of your staff by providing ongoing training and education opportunities. Well-trained personnel contribute to accurate test results and excellent customer service, enhancing the reputation of your lab.</w:t>
      </w:r>
    </w:p>
    <w:p w:rsidR="00000000" w:rsidDel="00000000" w:rsidP="00000000" w:rsidRDefault="00000000" w:rsidRPr="00000000" w14:paraId="00000009">
      <w:pPr>
        <w:numPr>
          <w:ilvl w:val="0"/>
          <w:numId w:val="1"/>
        </w:numPr>
        <w:ind w:left="720" w:hanging="360"/>
        <w:rPr>
          <w:rFonts w:ascii="Arial" w:cs="Arial" w:eastAsia="Arial" w:hAnsi="Arial"/>
        </w:rPr>
      </w:pPr>
      <w:r w:rsidDel="00000000" w:rsidR="00000000" w:rsidRPr="00000000">
        <w:rPr>
          <w:rFonts w:ascii="Arial" w:cs="Arial" w:eastAsia="Arial" w:hAnsi="Arial"/>
          <w:b w:val="1"/>
          <w:rtl w:val="0"/>
        </w:rPr>
        <w:t xml:space="preserve">Expand Service Offerings:</w:t>
      </w:r>
      <w:r w:rsidDel="00000000" w:rsidR="00000000" w:rsidRPr="00000000">
        <w:rPr>
          <w:rFonts w:ascii="Arial" w:cs="Arial" w:eastAsia="Arial" w:hAnsi="Arial"/>
          <w:rtl w:val="0"/>
        </w:rPr>
        <w:t xml:space="preserve"> Identify opportunities to expand your lab's service offerings based on market demand and emerging trends in healthcare. This could involve adding new testing capabilities, offering specialized diagnostic services, or catering to niche markets.</w:t>
      </w:r>
    </w:p>
    <w:p w:rsidR="00000000" w:rsidDel="00000000" w:rsidP="00000000" w:rsidRDefault="00000000" w:rsidRPr="00000000" w14:paraId="0000000A">
      <w:pPr>
        <w:numPr>
          <w:ilvl w:val="0"/>
          <w:numId w:val="1"/>
        </w:numPr>
        <w:ind w:left="720" w:hanging="360"/>
        <w:rPr>
          <w:rFonts w:ascii="Arial" w:cs="Arial" w:eastAsia="Arial" w:hAnsi="Arial"/>
        </w:rPr>
      </w:pPr>
      <w:r w:rsidDel="00000000" w:rsidR="00000000" w:rsidRPr="00000000">
        <w:rPr>
          <w:rFonts w:ascii="Arial" w:cs="Arial" w:eastAsia="Arial" w:hAnsi="Arial"/>
          <w:b w:val="1"/>
          <w:rtl w:val="0"/>
        </w:rPr>
        <w:t xml:space="preserve">Monitor Key Performance Indicators (KPIs):</w:t>
      </w:r>
      <w:r w:rsidDel="00000000" w:rsidR="00000000" w:rsidRPr="00000000">
        <w:rPr>
          <w:rFonts w:ascii="Arial" w:cs="Arial" w:eastAsia="Arial" w:hAnsi="Arial"/>
          <w:rtl w:val="0"/>
        </w:rPr>
        <w:t xml:space="preserve"> Track and analyze KPIs such as test volume, turnaround times, client satisfaction scores, and financial metrics. Regularly reviewing these indicators can help identify areas for improvement and guide strategic decision-making to optimize lab performance.</w:t>
      </w:r>
    </w:p>
    <w:p w:rsidR="00000000" w:rsidDel="00000000" w:rsidP="00000000" w:rsidRDefault="00000000" w:rsidRPr="00000000" w14:paraId="0000000B">
      <w:pPr>
        <w:numPr>
          <w:ilvl w:val="0"/>
          <w:numId w:val="1"/>
        </w:numPr>
        <w:ind w:left="720" w:hanging="360"/>
        <w:rPr>
          <w:rFonts w:ascii="Arial" w:cs="Arial" w:eastAsia="Arial" w:hAnsi="Arial"/>
        </w:rPr>
      </w:pPr>
      <w:r w:rsidDel="00000000" w:rsidR="00000000" w:rsidRPr="00000000">
        <w:rPr>
          <w:rFonts w:ascii="Arial" w:cs="Arial" w:eastAsia="Arial" w:hAnsi="Arial"/>
          <w:b w:val="1"/>
          <w:rtl w:val="0"/>
        </w:rPr>
        <w:t xml:space="preserve">Engage in Community Outreach:</w:t>
      </w:r>
      <w:r w:rsidDel="00000000" w:rsidR="00000000" w:rsidRPr="00000000">
        <w:rPr>
          <w:rFonts w:ascii="Arial" w:cs="Arial" w:eastAsia="Arial" w:hAnsi="Arial"/>
          <w:rtl w:val="0"/>
        </w:rPr>
        <w:t xml:space="preserve"> Participate in community health fairs, seminars, and educational events to raise awareness about the importance of laboratory testing and preventive healthcare. Establishing a positive presence in the community can attract new clients and strengthen existing relationships.</w:t>
      </w:r>
    </w:p>
    <w:p w:rsidR="00000000" w:rsidDel="00000000" w:rsidP="00000000" w:rsidRDefault="00000000" w:rsidRPr="00000000" w14:paraId="0000000C">
      <w:pPr>
        <w:numPr>
          <w:ilvl w:val="0"/>
          <w:numId w:val="1"/>
        </w:numPr>
        <w:ind w:left="720" w:hanging="360"/>
        <w:rPr>
          <w:rFonts w:ascii="Arial" w:cs="Arial" w:eastAsia="Arial" w:hAnsi="Arial"/>
        </w:rPr>
      </w:pPr>
      <w:r w:rsidDel="00000000" w:rsidR="00000000" w:rsidRPr="00000000">
        <w:rPr>
          <w:rFonts w:ascii="Arial" w:cs="Arial" w:eastAsia="Arial" w:hAnsi="Arial"/>
          <w:b w:val="1"/>
          <w:rtl w:val="0"/>
        </w:rPr>
        <w:t xml:space="preserve">Seek Feedback and Adapt:</w:t>
      </w:r>
      <w:r w:rsidDel="00000000" w:rsidR="00000000" w:rsidRPr="00000000">
        <w:rPr>
          <w:rFonts w:ascii="Arial" w:cs="Arial" w:eastAsia="Arial" w:hAnsi="Arial"/>
          <w:rtl w:val="0"/>
        </w:rPr>
        <w:t xml:space="preserve"> Actively solicit feedback from clients and stakeholders to understand their needs and preferences. Use this information to continuously improve your lab's services, processes, and overall customer experience.</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By implementing these strategies, you can advocate for your clinical lab and position it for sustainable growth in the healthcare industry.</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tabs>
        <w:tab w:val="center" w:leader="none" w:pos="4680"/>
        <w:tab w:val="right" w:leader="none" w:pos="936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This resource was made possible, in part, by Cooperative Agreement number NU47OE000107 from the Centers for Disease Control and Prevention (CDC). Its contents are solely the responsibility of the American Society for Clinical Pathology and do not necessarily represent the official views of the CDC.</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nDlMQcMHwCKYKVJSNkJ62wXx/Q==">CgMxLjA4AHIhMTBJbVMyaDBPci1DeDhwZUFHVkY5X2Nxa3RubDd2bXR6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2024-03-15T14:15:00Z</dcterms:created>
  <dc:creator>Abumuhor, Ihab A</dc:creator>
</cp:coreProperties>
</file>