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A0D" w14:textId="77777777" w:rsidR="00B825E4" w:rsidRPr="006F5CA1" w:rsidRDefault="00000000" w:rsidP="006F5CA1">
      <w:pPr>
        <w:spacing w:after="120"/>
        <w:rPr>
          <w:rFonts w:ascii="Arial" w:eastAsia="Arial" w:hAnsi="Arial" w:cs="Arial"/>
          <w:b/>
          <w:color w:val="4F81BD" w:themeColor="accent1"/>
          <w:sz w:val="32"/>
          <w:szCs w:val="32"/>
        </w:rPr>
      </w:pPr>
      <w:r w:rsidRPr="006F5CA1">
        <w:rPr>
          <w:rFonts w:ascii="Arial" w:eastAsia="Arial" w:hAnsi="Arial" w:cs="Arial"/>
          <w:b/>
          <w:color w:val="4F81BD" w:themeColor="accent1"/>
          <w:sz w:val="32"/>
          <w:szCs w:val="32"/>
        </w:rPr>
        <w:t xml:space="preserve">Hospital Center </w:t>
      </w:r>
    </w:p>
    <w:p w14:paraId="16CD81F9" w14:textId="77777777" w:rsidR="00B825E4" w:rsidRPr="006F5CA1" w:rsidRDefault="00000000" w:rsidP="006F5CA1">
      <w:pPr>
        <w:spacing w:after="120"/>
        <w:rPr>
          <w:rFonts w:ascii="Arial" w:eastAsia="Arial" w:hAnsi="Arial" w:cs="Arial"/>
          <w:b/>
          <w:sz w:val="32"/>
          <w:szCs w:val="32"/>
        </w:rPr>
      </w:pPr>
      <w:r w:rsidRPr="006F5CA1">
        <w:rPr>
          <w:rFonts w:ascii="Arial" w:eastAsia="Arial" w:hAnsi="Arial" w:cs="Arial"/>
          <w:b/>
          <w:color w:val="4F81BD" w:themeColor="accent1"/>
          <w:sz w:val="32"/>
          <w:szCs w:val="32"/>
        </w:rPr>
        <w:t>Transfusion Guidelines: ADULT PLASMA</w:t>
      </w:r>
      <w:r w:rsidRPr="006F5CA1">
        <w:rPr>
          <w:rFonts w:ascii="Arial" w:eastAsia="Arial" w:hAnsi="Arial" w:cs="Arial"/>
          <w:b/>
          <w:sz w:val="32"/>
          <w:szCs w:val="32"/>
        </w:rPr>
        <w:br/>
      </w:r>
    </w:p>
    <w:p w14:paraId="64FFDA7D" w14:textId="77777777" w:rsidR="00B825E4" w:rsidRPr="006F5CA1" w:rsidRDefault="00000000">
      <w:pPr>
        <w:spacing w:after="120"/>
        <w:rPr>
          <w:rFonts w:ascii="Arial" w:eastAsia="Arial" w:hAnsi="Arial" w:cs="Arial"/>
          <w:b/>
          <w:sz w:val="24"/>
          <w:szCs w:val="24"/>
        </w:rPr>
      </w:pPr>
      <w:r w:rsidRPr="006F5CA1">
        <w:rPr>
          <w:rFonts w:ascii="Arial" w:eastAsia="Arial" w:hAnsi="Arial" w:cs="Arial"/>
          <w:b/>
          <w:sz w:val="24"/>
          <w:szCs w:val="24"/>
        </w:rPr>
        <w:t>GUIDANCE STATEMENT</w:t>
      </w:r>
    </w:p>
    <w:p w14:paraId="466DCD9E" w14:textId="77777777" w:rsidR="00B825E4" w:rsidRPr="006F5CA1" w:rsidRDefault="00000000">
      <w:pPr>
        <w:rPr>
          <w:rFonts w:ascii="Arial" w:eastAsia="Arial" w:hAnsi="Arial" w:cs="Arial"/>
          <w:sz w:val="24"/>
          <w:szCs w:val="24"/>
        </w:rPr>
      </w:pPr>
      <w:r w:rsidRPr="006F5CA1">
        <w:rPr>
          <w:rFonts w:ascii="Arial" w:eastAsia="Arial" w:hAnsi="Arial" w:cs="Arial"/>
          <w:sz w:val="24"/>
          <w:szCs w:val="24"/>
        </w:rPr>
        <w:t xml:space="preserve">These represent </w:t>
      </w:r>
      <w:r w:rsidRPr="006F5CA1">
        <w:rPr>
          <w:rFonts w:ascii="Arial" w:eastAsia="Arial" w:hAnsi="Arial" w:cs="Arial"/>
          <w:sz w:val="24"/>
          <w:szCs w:val="24"/>
          <w:u w:val="single"/>
        </w:rPr>
        <w:t>guidelines</w:t>
      </w:r>
      <w:r w:rsidRPr="006F5CA1">
        <w:rPr>
          <w:rFonts w:ascii="Arial" w:eastAsia="Arial" w:hAnsi="Arial" w:cs="Arial"/>
          <w:sz w:val="24"/>
          <w:szCs w:val="24"/>
        </w:rPr>
        <w:t xml:space="preserve"> for plasma transfusion. These guidelines include conditions for which transfusion may be considered reasonable, but not mandatory, practice. The decision to transfuse should not be based solely on a single lab result and represents a clinical consideration that takes into account the potential benefits and risks of the transfusion. </w:t>
      </w:r>
    </w:p>
    <w:p w14:paraId="7D7608ED" w14:textId="77777777" w:rsidR="00B825E4" w:rsidRPr="006F5CA1" w:rsidRDefault="00B825E4">
      <w:pPr>
        <w:rPr>
          <w:rFonts w:ascii="Arial" w:eastAsia="Arial" w:hAnsi="Arial" w:cs="Arial"/>
          <w:sz w:val="24"/>
          <w:szCs w:val="24"/>
        </w:rPr>
      </w:pPr>
    </w:p>
    <w:p w14:paraId="344166D5" w14:textId="77777777" w:rsidR="00B825E4" w:rsidRPr="006F5CA1" w:rsidRDefault="00000000">
      <w:pPr>
        <w:rPr>
          <w:rFonts w:ascii="Arial" w:eastAsia="Arial" w:hAnsi="Arial" w:cs="Arial"/>
          <w:sz w:val="24"/>
          <w:szCs w:val="24"/>
        </w:rPr>
      </w:pPr>
      <w:r w:rsidRPr="006F5CA1">
        <w:rPr>
          <w:rFonts w:ascii="Arial" w:eastAsia="Arial" w:hAnsi="Arial" w:cs="Arial"/>
          <w:sz w:val="24"/>
          <w:szCs w:val="24"/>
        </w:rPr>
        <w:t>One unit of plasma contains approximately 300 ml although the volume of each unit may vary. 10-15 ml/kg is the usual adult dose for plasma products. In a 70 kg patient this represents 3-4 units and will approximately increase coagulation factors by 15%.</w:t>
      </w:r>
    </w:p>
    <w:p w14:paraId="4C12C13C" w14:textId="77777777" w:rsidR="00B825E4" w:rsidRPr="006F5CA1" w:rsidRDefault="00B825E4">
      <w:pPr>
        <w:rPr>
          <w:rFonts w:ascii="Arial" w:eastAsia="Arial" w:hAnsi="Arial" w:cs="Arial"/>
          <w:sz w:val="24"/>
          <w:szCs w:val="24"/>
        </w:rPr>
      </w:pPr>
    </w:p>
    <w:p w14:paraId="068BFC0F" w14:textId="77777777" w:rsidR="00B825E4" w:rsidRPr="006F5CA1" w:rsidRDefault="00000000">
      <w:pPr>
        <w:rPr>
          <w:rFonts w:ascii="Arial" w:eastAsia="Arial" w:hAnsi="Arial" w:cs="Arial"/>
          <w:sz w:val="24"/>
          <w:szCs w:val="24"/>
        </w:rPr>
      </w:pPr>
      <w:r w:rsidRPr="006F5CA1">
        <w:rPr>
          <w:rFonts w:ascii="Arial" w:eastAsia="Arial" w:hAnsi="Arial" w:cs="Arial"/>
          <w:sz w:val="24"/>
          <w:szCs w:val="24"/>
        </w:rPr>
        <w:t xml:space="preserve">Multiple studies have shown the PT/INR is a poor predictor of bleeding risk and many procedures can be safely carried out when the INR is mildly to moderately elevated. </w:t>
      </w:r>
    </w:p>
    <w:p w14:paraId="43517615" w14:textId="77777777" w:rsidR="00B825E4" w:rsidRPr="006F5CA1" w:rsidRDefault="00B825E4">
      <w:pPr>
        <w:rPr>
          <w:rFonts w:ascii="Arial" w:eastAsia="Arial" w:hAnsi="Arial" w:cs="Arial"/>
          <w:sz w:val="24"/>
          <w:szCs w:val="24"/>
        </w:rPr>
      </w:pPr>
    </w:p>
    <w:p w14:paraId="272BEB08" w14:textId="77777777" w:rsidR="00B825E4" w:rsidRPr="006F5CA1" w:rsidRDefault="00000000">
      <w:pPr>
        <w:rPr>
          <w:rFonts w:ascii="Arial" w:eastAsia="Arial" w:hAnsi="Arial" w:cs="Arial"/>
          <w:sz w:val="24"/>
          <w:szCs w:val="24"/>
        </w:rPr>
      </w:pPr>
      <w:r w:rsidRPr="006F5CA1">
        <w:rPr>
          <w:rFonts w:ascii="Arial" w:eastAsia="Arial" w:hAnsi="Arial" w:cs="Arial"/>
          <w:sz w:val="24"/>
          <w:szCs w:val="24"/>
        </w:rPr>
        <w:t xml:space="preserve">Prothrombin complex concentrate (4-factor PCC) is now preferred for emergent warfarin reversal along with vitamin K according to the American College of Chest Physicians Guidelines.  Plasma transfusion for non-emergent warfarin reversal is discouraged.  </w:t>
      </w:r>
    </w:p>
    <w:p w14:paraId="5AE45EDB" w14:textId="77777777" w:rsidR="00B825E4" w:rsidRPr="006F5CA1" w:rsidRDefault="00B825E4">
      <w:pPr>
        <w:rPr>
          <w:rFonts w:ascii="Arial" w:eastAsia="Arial" w:hAnsi="Arial" w:cs="Arial"/>
          <w:color w:val="FF0000"/>
          <w:sz w:val="24"/>
          <w:szCs w:val="24"/>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5"/>
      </w:tblGrid>
      <w:tr w:rsidR="00B825E4" w:rsidRPr="006F5CA1" w14:paraId="4BA2AC35" w14:textId="77777777" w:rsidTr="0081392F">
        <w:trPr>
          <w:trHeight w:val="1640"/>
        </w:trPr>
        <w:tc>
          <w:tcPr>
            <w:tcW w:w="9445" w:type="dxa"/>
          </w:tcPr>
          <w:p w14:paraId="0617E64E" w14:textId="77777777" w:rsidR="00B825E4" w:rsidRPr="006F5CA1" w:rsidRDefault="00B825E4">
            <w:pPr>
              <w:rPr>
                <w:rFonts w:ascii="Arial" w:eastAsia="Arial" w:hAnsi="Arial" w:cs="Arial"/>
                <w:b/>
                <w:sz w:val="24"/>
                <w:szCs w:val="24"/>
              </w:rPr>
            </w:pPr>
          </w:p>
          <w:p w14:paraId="5DEB03A5" w14:textId="77777777" w:rsidR="00B825E4" w:rsidRPr="006F5CA1" w:rsidRDefault="00000000">
            <w:pPr>
              <w:rPr>
                <w:rFonts w:ascii="Arial" w:eastAsia="Arial" w:hAnsi="Arial" w:cs="Arial"/>
                <w:b/>
                <w:sz w:val="24"/>
                <w:szCs w:val="24"/>
              </w:rPr>
            </w:pPr>
            <w:r w:rsidRPr="006F5CA1">
              <w:rPr>
                <w:rFonts w:ascii="Arial" w:eastAsia="Arial" w:hAnsi="Arial" w:cs="Arial"/>
                <w:b/>
                <w:sz w:val="28"/>
                <w:szCs w:val="28"/>
              </w:rPr>
              <w:t xml:space="preserve">Guideline by PT/INR threshold and clinical indication: </w:t>
            </w:r>
          </w:p>
          <w:p w14:paraId="1BF7AB75" w14:textId="77777777" w:rsidR="00B825E4" w:rsidRPr="006F5CA1" w:rsidRDefault="00B825E4">
            <w:pPr>
              <w:ind w:left="360"/>
              <w:rPr>
                <w:rFonts w:ascii="Arial" w:eastAsia="Arial" w:hAnsi="Arial" w:cs="Arial"/>
                <w:b/>
                <w:i/>
                <w:sz w:val="24"/>
                <w:szCs w:val="24"/>
              </w:rPr>
            </w:pPr>
          </w:p>
          <w:p w14:paraId="07796B2B" w14:textId="77777777" w:rsidR="00B825E4" w:rsidRPr="006F5CA1" w:rsidRDefault="00000000">
            <w:pPr>
              <w:spacing w:after="120"/>
              <w:rPr>
                <w:rFonts w:ascii="Arial" w:eastAsia="Arial" w:hAnsi="Arial" w:cs="Arial"/>
                <w:b/>
                <w:i/>
                <w:sz w:val="24"/>
                <w:szCs w:val="24"/>
              </w:rPr>
            </w:pPr>
            <w:r w:rsidRPr="006F5CA1">
              <w:rPr>
                <w:rFonts w:ascii="Arial" w:eastAsia="Arial" w:hAnsi="Arial" w:cs="Arial"/>
                <w:b/>
                <w:i/>
                <w:sz w:val="24"/>
                <w:szCs w:val="24"/>
              </w:rPr>
              <w:t>Therapeutic Use of Plasma</w:t>
            </w:r>
          </w:p>
          <w:p w14:paraId="581104EB" w14:textId="77777777" w:rsidR="00B825E4" w:rsidRPr="006F5CA1" w:rsidRDefault="00000000">
            <w:pPr>
              <w:numPr>
                <w:ilvl w:val="0"/>
                <w:numId w:val="2"/>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Active bleeding before coagulation studies are available</w:t>
            </w:r>
          </w:p>
          <w:p w14:paraId="1FF6A355" w14:textId="77777777" w:rsidR="00B825E4" w:rsidRPr="006F5CA1" w:rsidRDefault="00000000">
            <w:pPr>
              <w:widowControl/>
              <w:numPr>
                <w:ilvl w:val="1"/>
                <w:numId w:val="3"/>
              </w:numPr>
              <w:pBdr>
                <w:top w:val="nil"/>
                <w:left w:val="nil"/>
                <w:bottom w:val="nil"/>
                <w:right w:val="nil"/>
                <w:between w:val="nil"/>
              </w:pBdr>
              <w:spacing w:line="259" w:lineRule="auto"/>
              <w:rPr>
                <w:rFonts w:ascii="Arial" w:eastAsia="Arial" w:hAnsi="Arial" w:cs="Arial"/>
                <w:b/>
                <w:i/>
                <w:color w:val="000000"/>
                <w:sz w:val="24"/>
                <w:szCs w:val="24"/>
              </w:rPr>
            </w:pPr>
            <w:r w:rsidRPr="006F5CA1">
              <w:rPr>
                <w:rFonts w:ascii="Arial" w:eastAsia="Arial" w:hAnsi="Arial" w:cs="Arial"/>
                <w:color w:val="000000"/>
                <w:sz w:val="24"/>
                <w:szCs w:val="24"/>
              </w:rPr>
              <w:t>Massive hemorrhage protocol or massive transfusion protocol initiated</w:t>
            </w:r>
          </w:p>
          <w:p w14:paraId="53E4C64D" w14:textId="77777777" w:rsidR="00B825E4" w:rsidRPr="006F5CA1" w:rsidRDefault="00000000">
            <w:pPr>
              <w:widowControl/>
              <w:numPr>
                <w:ilvl w:val="1"/>
                <w:numId w:val="3"/>
              </w:numPr>
              <w:pBdr>
                <w:top w:val="nil"/>
                <w:left w:val="nil"/>
                <w:bottom w:val="nil"/>
                <w:right w:val="nil"/>
                <w:between w:val="nil"/>
              </w:pBdr>
              <w:spacing w:line="259" w:lineRule="auto"/>
              <w:rPr>
                <w:rFonts w:ascii="Arial" w:eastAsia="Arial" w:hAnsi="Arial" w:cs="Arial"/>
                <w:b/>
                <w:i/>
                <w:color w:val="000000"/>
                <w:sz w:val="24"/>
                <w:szCs w:val="24"/>
              </w:rPr>
            </w:pPr>
            <w:r w:rsidRPr="006F5CA1">
              <w:rPr>
                <w:rFonts w:ascii="Arial" w:eastAsia="Arial" w:hAnsi="Arial" w:cs="Arial"/>
                <w:color w:val="000000"/>
                <w:sz w:val="24"/>
                <w:szCs w:val="24"/>
              </w:rPr>
              <w:t>Traumatic injury with hemodynamic instability (pre-MTP activation)</w:t>
            </w:r>
          </w:p>
          <w:p w14:paraId="0A984A53" w14:textId="77777777" w:rsidR="00B825E4" w:rsidRPr="006F5CA1" w:rsidRDefault="00000000">
            <w:pPr>
              <w:numPr>
                <w:ilvl w:val="0"/>
                <w:numId w:val="3"/>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Bleeding patient with multiple factor deficiencies</w:t>
            </w:r>
          </w:p>
          <w:p w14:paraId="0F67F72C" w14:textId="77777777" w:rsidR="00B825E4" w:rsidRPr="006F5CA1" w:rsidRDefault="00000000">
            <w:pPr>
              <w:numPr>
                <w:ilvl w:val="0"/>
                <w:numId w:val="3"/>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Bleeding patient when a specific factor concentrate is not available</w:t>
            </w:r>
          </w:p>
          <w:p w14:paraId="2281FC1F" w14:textId="77777777" w:rsidR="00B825E4" w:rsidRPr="006F5CA1" w:rsidRDefault="00000000">
            <w:pPr>
              <w:numPr>
                <w:ilvl w:val="0"/>
                <w:numId w:val="3"/>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Thromboelastography (TEG) values suggest a deficiency of plasma clotting factors in patient with active bleeding</w:t>
            </w:r>
          </w:p>
          <w:p w14:paraId="6FB20062" w14:textId="77777777" w:rsidR="00B825E4" w:rsidRPr="006F5CA1" w:rsidRDefault="00000000">
            <w:pPr>
              <w:numPr>
                <w:ilvl w:val="0"/>
                <w:numId w:val="3"/>
              </w:numPr>
              <w:pBdr>
                <w:top w:val="nil"/>
                <w:left w:val="nil"/>
                <w:bottom w:val="nil"/>
                <w:right w:val="nil"/>
                <w:between w:val="nil"/>
              </w:pBdr>
              <w:rPr>
                <w:rFonts w:ascii="Arial" w:eastAsia="Arial" w:hAnsi="Arial" w:cs="Arial"/>
                <w:b/>
                <w:color w:val="000000"/>
                <w:sz w:val="24"/>
                <w:szCs w:val="24"/>
              </w:rPr>
            </w:pPr>
            <w:r w:rsidRPr="006F5CA1">
              <w:rPr>
                <w:rFonts w:ascii="Arial" w:eastAsia="Arial" w:hAnsi="Arial" w:cs="Arial"/>
                <w:color w:val="000000"/>
                <w:sz w:val="24"/>
                <w:szCs w:val="24"/>
              </w:rPr>
              <w:t xml:space="preserve">Portal Hypertensive Bleeding in Cirrhosis - </w:t>
            </w:r>
            <w:r w:rsidRPr="006F5CA1">
              <w:rPr>
                <w:rFonts w:ascii="Arial" w:eastAsia="Arial" w:hAnsi="Arial" w:cs="Arial"/>
                <w:i/>
                <w:color w:val="000000"/>
                <w:sz w:val="24"/>
                <w:szCs w:val="24"/>
              </w:rPr>
              <w:t>Correcting INR with plasma is not recommended, given that INR is not a reliable indicator of coagulation status in cirrhosis (2016 Practice Guidance by the American Association for the Study of Liver Diseases)</w:t>
            </w:r>
          </w:p>
          <w:p w14:paraId="1AC5A89D" w14:textId="77777777" w:rsidR="00B825E4" w:rsidRPr="006F5CA1" w:rsidRDefault="00000000">
            <w:pPr>
              <w:widowControl/>
              <w:numPr>
                <w:ilvl w:val="0"/>
                <w:numId w:val="3"/>
              </w:numPr>
              <w:pBdr>
                <w:top w:val="nil"/>
                <w:left w:val="nil"/>
                <w:bottom w:val="nil"/>
                <w:right w:val="nil"/>
                <w:between w:val="nil"/>
              </w:pBdr>
              <w:spacing w:line="259" w:lineRule="auto"/>
              <w:rPr>
                <w:rFonts w:ascii="Arial" w:eastAsia="Arial" w:hAnsi="Arial" w:cs="Arial"/>
                <w:color w:val="000000"/>
                <w:sz w:val="24"/>
                <w:szCs w:val="24"/>
              </w:rPr>
            </w:pPr>
            <w:r w:rsidRPr="006F5CA1">
              <w:rPr>
                <w:rFonts w:ascii="Arial" w:eastAsia="Arial" w:hAnsi="Arial" w:cs="Arial"/>
                <w:color w:val="000000"/>
                <w:sz w:val="24"/>
                <w:szCs w:val="24"/>
              </w:rPr>
              <w:t>Plasma exchange transfusion in thrombotic thrombocytopenic purpura</w:t>
            </w:r>
          </w:p>
          <w:p w14:paraId="2BE25000" w14:textId="77777777" w:rsidR="00B825E4" w:rsidRPr="006F5CA1" w:rsidRDefault="00000000">
            <w:pPr>
              <w:widowControl/>
              <w:numPr>
                <w:ilvl w:val="0"/>
                <w:numId w:val="3"/>
              </w:numPr>
              <w:pBdr>
                <w:top w:val="nil"/>
                <w:left w:val="nil"/>
                <w:bottom w:val="nil"/>
                <w:right w:val="nil"/>
                <w:between w:val="nil"/>
              </w:pBdr>
              <w:spacing w:after="160" w:line="259" w:lineRule="auto"/>
              <w:rPr>
                <w:rFonts w:ascii="Arial" w:eastAsia="Arial" w:hAnsi="Arial" w:cs="Arial"/>
                <w:color w:val="000000"/>
                <w:sz w:val="24"/>
                <w:szCs w:val="24"/>
              </w:rPr>
            </w:pPr>
            <w:r w:rsidRPr="006F5CA1">
              <w:rPr>
                <w:rFonts w:ascii="Arial" w:eastAsia="Arial" w:hAnsi="Arial" w:cs="Arial"/>
                <w:color w:val="000000"/>
                <w:sz w:val="24"/>
                <w:szCs w:val="24"/>
              </w:rPr>
              <w:t>INR greater than 1.5 and intracranial hemorrhage; prothrombin complex concentrate unavailable or contraindicated</w:t>
            </w:r>
          </w:p>
          <w:p w14:paraId="2423D5FC" w14:textId="77777777" w:rsidR="00B825E4" w:rsidRPr="006F5CA1" w:rsidRDefault="00B825E4">
            <w:pPr>
              <w:rPr>
                <w:rFonts w:ascii="Arial" w:eastAsia="Arial" w:hAnsi="Arial" w:cs="Arial"/>
                <w:b/>
                <w:i/>
                <w:sz w:val="24"/>
                <w:szCs w:val="24"/>
              </w:rPr>
            </w:pPr>
          </w:p>
          <w:p w14:paraId="0DD4F10D" w14:textId="77777777" w:rsidR="00B825E4" w:rsidRPr="006F5CA1" w:rsidRDefault="00000000">
            <w:pPr>
              <w:rPr>
                <w:rFonts w:ascii="Arial" w:eastAsia="Arial" w:hAnsi="Arial" w:cs="Arial"/>
                <w:b/>
                <w:i/>
                <w:sz w:val="24"/>
                <w:szCs w:val="24"/>
              </w:rPr>
            </w:pPr>
            <w:r w:rsidRPr="006F5CA1">
              <w:rPr>
                <w:rFonts w:ascii="Arial" w:eastAsia="Arial" w:hAnsi="Arial" w:cs="Arial"/>
                <w:noProof/>
              </w:rPr>
              <mc:AlternateContent>
                <mc:Choice Requires="wps">
                  <w:drawing>
                    <wp:inline distT="0" distB="0" distL="0" distR="0" wp14:anchorId="436B6BF3" wp14:editId="0B19187B">
                      <wp:extent cx="6145530" cy="403225"/>
                      <wp:effectExtent l="0" t="0" r="0" b="0"/>
                      <wp:docPr id="42" name="Rectangle 42"/>
                      <wp:cNvGraphicFramePr/>
                      <a:graphic xmlns:a="http://schemas.openxmlformats.org/drawingml/2006/main">
                        <a:graphicData uri="http://schemas.microsoft.com/office/word/2010/wordprocessingShape">
                          <wps:wsp>
                            <wps:cNvSpPr/>
                            <wps:spPr>
                              <a:xfrm>
                                <a:off x="2279585" y="3584738"/>
                                <a:ext cx="6132830" cy="390525"/>
                              </a:xfrm>
                              <a:prstGeom prst="rect">
                                <a:avLst/>
                              </a:prstGeom>
                              <a:noFill/>
                              <a:ln w="12700" cap="flat" cmpd="sng">
                                <a:solidFill>
                                  <a:schemeClr val="dk1"/>
                                </a:solidFill>
                                <a:prstDash val="solid"/>
                                <a:round/>
                                <a:headEnd type="none" w="sm" len="sm"/>
                                <a:tailEnd type="none" w="sm" len="sm"/>
                              </a:ln>
                            </wps:spPr>
                            <wps:txbx>
                              <w:txbxContent>
                                <w:p w14:paraId="415581D4" w14:textId="77777777" w:rsidR="00B825E4" w:rsidRDefault="00000000">
                                  <w:pPr>
                                    <w:ind w:left="540"/>
                                    <w:textDirection w:val="btLr"/>
                                  </w:pPr>
                                  <w:r>
                                    <w:rPr>
                                      <w:rFonts w:ascii="Arial" w:eastAsia="Arial" w:hAnsi="Arial" w:cs="Arial"/>
                                      <w:b/>
                                      <w:i/>
                                      <w:color w:val="000000"/>
                                      <w:sz w:val="20"/>
                                    </w:rPr>
                                    <w:t>Note</w:t>
                                  </w:r>
                                  <w:r>
                                    <w:rPr>
                                      <w:rFonts w:ascii="Arial" w:eastAsia="Arial" w:hAnsi="Arial" w:cs="Arial"/>
                                      <w:i/>
                                      <w:color w:val="000000"/>
                                      <w:sz w:val="20"/>
                                    </w:rPr>
                                    <w:t>: Prophylactic use of plasma to reduce risk for bleeding prior to invasive procedures for patients with    a prolonged PT/INR is not supported by strong evidence.</w:t>
                                  </w:r>
                                </w:p>
                              </w:txbxContent>
                            </wps:txbx>
                            <wps:bodyPr spcFirstLastPara="1" wrap="square" lIns="91425" tIns="45700" rIns="91425" bIns="45700" anchor="t" anchorCtr="0">
                              <a:noAutofit/>
                            </wps:bodyPr>
                          </wps:wsp>
                        </a:graphicData>
                      </a:graphic>
                    </wp:inline>
                  </w:drawing>
                </mc:Choice>
                <mc:Fallback>
                  <w:pict>
                    <v:rect w14:anchorId="436B6BF3" id="Rectangle 42" o:spid="_x0000_s1026" style="width:483.9pt;height: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" filled="f" strokecolor="black [3200]" strokeweight="1pt">
                      <v:stroke startarrowwidth="narrow" startarrowlength="short" endarrowwidth="narrow" endarrowlength="short" joinstyle="round"/>
                      <v:textbox inset="2.53958mm,1.2694mm,2.53958mm,1.2694mm">
                        <w:txbxContent>
                          <w:p w14:paraId="415581D4" w14:textId="77777777" w:rsidR="00B825E4" w:rsidRDefault="00000000">
                            <w:pPr>
                              <w:ind w:left="540"/>
                              <w:textDirection w:val="btLr"/>
                            </w:pPr>
                            <w:r>
                              <w:rPr>
                                <w:rFonts w:ascii="Arial" w:eastAsia="Arial" w:hAnsi="Arial" w:cs="Arial"/>
                                <w:b/>
                                <w:i/>
                                <w:color w:val="000000"/>
                                <w:sz w:val="20"/>
                              </w:rPr>
                              <w:t>Note</w:t>
                            </w:r>
                            <w:r>
                              <w:rPr>
                                <w:rFonts w:ascii="Arial" w:eastAsia="Arial" w:hAnsi="Arial" w:cs="Arial"/>
                                <w:i/>
                                <w:color w:val="000000"/>
                                <w:sz w:val="20"/>
                              </w:rPr>
                              <w:t>: Prophylactic use of plasma to reduce risk for bleeding prior to invasive procedures for patients with    a prolonged PT/INR is not supported by strong evidence.</w:t>
                            </w:r>
                          </w:p>
                        </w:txbxContent>
                      </v:textbox>
                      <w10:anchorlock/>
                    </v:rect>
                  </w:pict>
                </mc:Fallback>
              </mc:AlternateContent>
            </w:r>
            <w:r w:rsidRPr="006F5CA1">
              <w:rPr>
                <w:rFonts w:ascii="Arial" w:eastAsia="Arial" w:hAnsi="Arial" w:cs="Arial"/>
                <w:b/>
                <w:i/>
                <w:sz w:val="24"/>
                <w:szCs w:val="24"/>
              </w:rPr>
              <w:lastRenderedPageBreak/>
              <w:t>Prophylactic use of plasma</w:t>
            </w:r>
            <w:r w:rsidRPr="006F5CA1">
              <w:rPr>
                <w:rFonts w:ascii="Arial" w:hAnsi="Arial" w:cs="Arial"/>
                <w:noProof/>
              </w:rPr>
              <mc:AlternateContent>
                <mc:Choice Requires="wps">
                  <w:drawing>
                    <wp:anchor distT="0" distB="0" distL="114300" distR="114300" simplePos="0" relativeHeight="251658240" behindDoc="0" locked="0" layoutInCell="1" hidden="0" allowOverlap="1" wp14:anchorId="5CCCD9EF" wp14:editId="39D188F4">
                      <wp:simplePos x="0" y="0"/>
                      <wp:positionH relativeFrom="column">
                        <wp:posOffset>152400</wp:posOffset>
                      </wp:positionH>
                      <wp:positionV relativeFrom="paragraph">
                        <wp:posOffset>660400</wp:posOffset>
                      </wp:positionV>
                      <wp:extent cx="6099810" cy="403225"/>
                      <wp:effectExtent l="0" t="0" r="0" b="0"/>
                      <wp:wrapSquare wrapText="bothSides" distT="0" distB="0" distL="114300" distR="114300"/>
                      <wp:docPr id="52" name="Rectangle 52"/>
                      <wp:cNvGraphicFramePr/>
                      <a:graphic xmlns:a="http://schemas.openxmlformats.org/drawingml/2006/main">
                        <a:graphicData uri="http://schemas.microsoft.com/office/word/2010/wordprocessingShape">
                          <wps:wsp>
                            <wps:cNvSpPr/>
                            <wps:spPr>
                              <a:xfrm>
                                <a:off x="2302445" y="3584738"/>
                                <a:ext cx="6087110" cy="390525"/>
                              </a:xfrm>
                              <a:prstGeom prst="rect">
                                <a:avLst/>
                              </a:prstGeom>
                              <a:noFill/>
                              <a:ln w="12700" cap="flat" cmpd="sng">
                                <a:solidFill>
                                  <a:srgbClr val="000000"/>
                                </a:solidFill>
                                <a:prstDash val="solid"/>
                                <a:round/>
                                <a:headEnd type="none" w="sm" len="sm"/>
                                <a:tailEnd type="none" w="sm" len="sm"/>
                              </a:ln>
                            </wps:spPr>
                            <wps:txbx>
                              <w:txbxContent>
                                <w:p w14:paraId="449DF916" w14:textId="77777777" w:rsidR="00B825E4" w:rsidRDefault="00000000">
                                  <w:pPr>
                                    <w:textDirection w:val="btLr"/>
                                  </w:pPr>
                                  <w:r>
                                    <w:rPr>
                                      <w:rFonts w:ascii="Arial" w:eastAsia="Arial" w:hAnsi="Arial" w:cs="Arial"/>
                                      <w:b/>
                                      <w:i/>
                                      <w:color w:val="000000"/>
                                      <w:sz w:val="20"/>
                                    </w:rPr>
                                    <w:t>Note</w:t>
                                  </w:r>
                                  <w:r>
                                    <w:rPr>
                                      <w:rFonts w:ascii="Arial" w:eastAsia="Arial" w:hAnsi="Arial" w:cs="Arial"/>
                                      <w:i/>
                                      <w:color w:val="000000"/>
                                      <w:sz w:val="20"/>
                                    </w:rPr>
                                    <w:t xml:space="preserve">: Vitamin K alone or 4-factor PCC with vitamin K should be used instead of plasma in patients </w:t>
                                  </w:r>
                                </w:p>
                                <w:p w14:paraId="7B698E9D" w14:textId="77777777" w:rsidR="00B825E4" w:rsidRDefault="00000000">
                                  <w:pPr>
                                    <w:ind w:firstLine="540"/>
                                    <w:textDirection w:val="btLr"/>
                                  </w:pPr>
                                  <w:r>
                                    <w:rPr>
                                      <w:rFonts w:ascii="Arial" w:eastAsia="Arial" w:hAnsi="Arial" w:cs="Arial"/>
                                      <w:i/>
                                      <w:color w:val="000000"/>
                                      <w:sz w:val="20"/>
                                    </w:rPr>
                                    <w:t xml:space="preserve">receiving warfarin.  </w:t>
                                  </w:r>
                                </w:p>
                              </w:txbxContent>
                            </wps:txbx>
                            <wps:bodyPr spcFirstLastPara="1" wrap="square" lIns="91425" tIns="45700" rIns="91425" bIns="45700" anchor="t" anchorCtr="0">
                              <a:noAutofit/>
                            </wps:bodyPr>
                          </wps:wsp>
                        </a:graphicData>
                      </a:graphic>
                    </wp:anchor>
                  </w:drawing>
                </mc:Choice>
                <mc:Fallback>
                  <w:pict>
                    <v:rect w14:anchorId="5CCCD9EF" id="Rectangle 52" o:spid="_x0000_s1027" style="position:absolute;margin-left:12pt;margin-top:52pt;width:480.3pt;height:3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" filled="f" strokeweight="1pt">
                      <v:stroke startarrowwidth="narrow" startarrowlength="short" endarrowwidth="narrow" endarrowlength="short" joinstyle="round"/>
                      <v:textbox inset="2.53958mm,1.2694mm,2.53958mm,1.2694mm">
                        <w:txbxContent>
                          <w:p w14:paraId="449DF916" w14:textId="77777777" w:rsidR="00B825E4" w:rsidRDefault="00000000">
                            <w:pPr>
                              <w:textDirection w:val="btLr"/>
                            </w:pPr>
                            <w:r>
                              <w:rPr>
                                <w:rFonts w:ascii="Arial" w:eastAsia="Arial" w:hAnsi="Arial" w:cs="Arial"/>
                                <w:b/>
                                <w:i/>
                                <w:color w:val="000000"/>
                                <w:sz w:val="20"/>
                              </w:rPr>
                              <w:t>Note</w:t>
                            </w:r>
                            <w:r>
                              <w:rPr>
                                <w:rFonts w:ascii="Arial" w:eastAsia="Arial" w:hAnsi="Arial" w:cs="Arial"/>
                                <w:i/>
                                <w:color w:val="000000"/>
                                <w:sz w:val="20"/>
                              </w:rPr>
                              <w:t xml:space="preserve">: Vitamin K alone or 4-factor PCC with vitamin K should be used instead of plasma in patients </w:t>
                            </w:r>
                          </w:p>
                          <w:p w14:paraId="7B698E9D" w14:textId="77777777" w:rsidR="00B825E4" w:rsidRDefault="00000000">
                            <w:pPr>
                              <w:ind w:firstLine="540"/>
                              <w:textDirection w:val="btLr"/>
                            </w:pPr>
                            <w:r>
                              <w:rPr>
                                <w:rFonts w:ascii="Arial" w:eastAsia="Arial" w:hAnsi="Arial" w:cs="Arial"/>
                                <w:i/>
                                <w:color w:val="000000"/>
                                <w:sz w:val="20"/>
                              </w:rPr>
                              <w:t xml:space="preserve">receiving warfarin.  </w:t>
                            </w:r>
                          </w:p>
                        </w:txbxContent>
                      </v:textbox>
                      <w10:wrap type="square"/>
                    </v:rect>
                  </w:pict>
                </mc:Fallback>
              </mc:AlternateContent>
            </w:r>
          </w:p>
          <w:p w14:paraId="3D3044A8" w14:textId="77777777" w:rsidR="00B825E4" w:rsidRPr="006F5CA1" w:rsidRDefault="00000000">
            <w:pPr>
              <w:numPr>
                <w:ilvl w:val="0"/>
                <w:numId w:val="3"/>
              </w:numPr>
              <w:pBdr>
                <w:top w:val="nil"/>
                <w:left w:val="nil"/>
                <w:bottom w:val="nil"/>
                <w:right w:val="nil"/>
                <w:between w:val="nil"/>
              </w:pBdr>
              <w:rPr>
                <w:rFonts w:ascii="Arial" w:eastAsia="Arial" w:hAnsi="Arial" w:cs="Arial"/>
                <w:b/>
                <w:color w:val="000000"/>
                <w:sz w:val="24"/>
                <w:szCs w:val="24"/>
              </w:rPr>
            </w:pPr>
            <w:r w:rsidRPr="006F5CA1">
              <w:rPr>
                <w:rFonts w:ascii="Arial" w:eastAsia="Arial" w:hAnsi="Arial" w:cs="Arial"/>
                <w:b/>
                <w:color w:val="000000"/>
                <w:sz w:val="24"/>
                <w:szCs w:val="24"/>
              </w:rPr>
              <w:t xml:space="preserve">Low risk (blood loss) procedures </w:t>
            </w:r>
          </w:p>
          <w:p w14:paraId="7FC6BF10" w14:textId="77777777" w:rsidR="00B825E4" w:rsidRPr="006F5CA1" w:rsidRDefault="00000000">
            <w:pPr>
              <w:numPr>
                <w:ilvl w:val="1"/>
                <w:numId w:val="3"/>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 xml:space="preserve">INR in the range of 2.0-3.0, patient unresponsive to Vitamin K and undergoing low risk procedures (for full list refer to 2019 Society Interventional Radiology Guidelines) </w:t>
            </w:r>
          </w:p>
          <w:p w14:paraId="069CC772" w14:textId="77777777" w:rsidR="00B825E4" w:rsidRPr="006F5CA1" w:rsidRDefault="00000000">
            <w:pPr>
              <w:numPr>
                <w:ilvl w:val="0"/>
                <w:numId w:val="3"/>
              </w:numPr>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r w:rsidRPr="006F5CA1">
              <w:rPr>
                <w:rFonts w:ascii="Arial" w:eastAsia="Arial" w:hAnsi="Arial" w:cs="Arial"/>
                <w:b/>
                <w:color w:val="000000"/>
                <w:sz w:val="24"/>
                <w:szCs w:val="24"/>
              </w:rPr>
              <w:t>Surgical intervention</w:t>
            </w:r>
            <w:r w:rsidRPr="006F5CA1">
              <w:rPr>
                <w:rFonts w:ascii="Arial" w:eastAsia="Arial" w:hAnsi="Arial" w:cs="Arial"/>
                <w:color w:val="000000"/>
                <w:sz w:val="24"/>
                <w:szCs w:val="24"/>
              </w:rPr>
              <w:t xml:space="preserve"> - INR greater than 2.0, patient unresponsive to Vitamin K </w:t>
            </w:r>
          </w:p>
          <w:p w14:paraId="479C12FE" w14:textId="77777777" w:rsidR="00B825E4" w:rsidRPr="006F5CA1" w:rsidRDefault="00000000">
            <w:pPr>
              <w:numPr>
                <w:ilvl w:val="0"/>
                <w:numId w:val="3"/>
              </w:numPr>
              <w:pBdr>
                <w:top w:val="nil"/>
                <w:left w:val="nil"/>
                <w:bottom w:val="nil"/>
                <w:right w:val="nil"/>
                <w:between w:val="nil"/>
              </w:pBdr>
              <w:rPr>
                <w:rFonts w:ascii="Arial" w:eastAsia="Arial" w:hAnsi="Arial" w:cs="Arial"/>
                <w:b/>
                <w:color w:val="000000"/>
                <w:sz w:val="24"/>
                <w:szCs w:val="24"/>
              </w:rPr>
            </w:pPr>
            <w:r w:rsidRPr="006F5CA1">
              <w:rPr>
                <w:rFonts w:ascii="Arial" w:eastAsia="Arial" w:hAnsi="Arial" w:cs="Arial"/>
                <w:b/>
                <w:color w:val="000000"/>
                <w:sz w:val="24"/>
                <w:szCs w:val="24"/>
              </w:rPr>
              <w:t>High-risk procedures</w:t>
            </w:r>
          </w:p>
          <w:p w14:paraId="4991650D" w14:textId="77777777" w:rsidR="00B825E4" w:rsidRPr="006F5CA1" w:rsidRDefault="00000000">
            <w:pPr>
              <w:numPr>
                <w:ilvl w:val="1"/>
                <w:numId w:val="3"/>
              </w:numPr>
              <w:pBdr>
                <w:top w:val="nil"/>
                <w:left w:val="nil"/>
                <w:bottom w:val="nil"/>
                <w:right w:val="nil"/>
                <w:between w:val="nil"/>
              </w:pBdr>
              <w:rPr>
                <w:rFonts w:ascii="Arial" w:eastAsia="Arial" w:hAnsi="Arial" w:cs="Arial"/>
                <w:color w:val="000000"/>
                <w:sz w:val="24"/>
                <w:szCs w:val="24"/>
              </w:rPr>
            </w:pPr>
            <w:r w:rsidRPr="006F5CA1">
              <w:rPr>
                <w:rFonts w:ascii="Arial" w:eastAsia="Arial" w:hAnsi="Arial" w:cs="Arial"/>
                <w:color w:val="000000"/>
                <w:sz w:val="24"/>
                <w:szCs w:val="24"/>
              </w:rPr>
              <w:t xml:space="preserve">INR greater than 1.8, patient unresponsive to vitamin K and undergoing high-risk procedures (for full list refer to 2019 Society Interventional Radiology Guidelines) </w:t>
            </w:r>
          </w:p>
          <w:p w14:paraId="69DE8833" w14:textId="77777777" w:rsidR="00B825E4" w:rsidRPr="006F5CA1" w:rsidRDefault="00B825E4">
            <w:pPr>
              <w:pBdr>
                <w:top w:val="nil"/>
                <w:left w:val="nil"/>
                <w:bottom w:val="nil"/>
                <w:right w:val="nil"/>
                <w:between w:val="nil"/>
              </w:pBdr>
              <w:ind w:left="1080"/>
              <w:rPr>
                <w:rFonts w:ascii="Arial" w:eastAsia="Arial" w:hAnsi="Arial" w:cs="Arial"/>
                <w:color w:val="000000"/>
                <w:sz w:val="24"/>
                <w:szCs w:val="24"/>
              </w:rPr>
            </w:pPr>
          </w:p>
          <w:p w14:paraId="191BFC9F" w14:textId="77777777" w:rsidR="00B825E4" w:rsidRPr="006F5CA1" w:rsidRDefault="00B825E4">
            <w:pPr>
              <w:pBdr>
                <w:top w:val="nil"/>
                <w:left w:val="nil"/>
                <w:bottom w:val="nil"/>
                <w:right w:val="nil"/>
                <w:between w:val="nil"/>
              </w:pBdr>
              <w:ind w:left="1080"/>
              <w:rPr>
                <w:rFonts w:ascii="Arial" w:eastAsia="Arial" w:hAnsi="Arial" w:cs="Arial"/>
                <w:color w:val="000000"/>
                <w:sz w:val="24"/>
                <w:szCs w:val="24"/>
              </w:rPr>
            </w:pPr>
          </w:p>
          <w:p w14:paraId="61B72F69" w14:textId="77777777" w:rsidR="00B825E4" w:rsidRPr="006F5CA1" w:rsidRDefault="00000000">
            <w:pPr>
              <w:tabs>
                <w:tab w:val="left" w:pos="2860"/>
              </w:tabs>
              <w:ind w:left="247"/>
              <w:rPr>
                <w:rFonts w:ascii="Arial" w:eastAsia="Arial" w:hAnsi="Arial" w:cs="Arial"/>
                <w:sz w:val="24"/>
                <w:szCs w:val="24"/>
              </w:rPr>
            </w:pPr>
            <w:r w:rsidRPr="006F5CA1">
              <w:rPr>
                <w:rFonts w:ascii="Arial" w:eastAsia="Arial" w:hAnsi="Arial" w:cs="Arial"/>
                <w:b/>
                <w:sz w:val="24"/>
                <w:szCs w:val="24"/>
              </w:rPr>
              <w:t>*Note:</w:t>
            </w:r>
            <w:r w:rsidRPr="006F5CA1">
              <w:rPr>
                <w:rFonts w:ascii="Arial" w:eastAsia="Arial" w:hAnsi="Arial" w:cs="Arial"/>
                <w:sz w:val="24"/>
                <w:szCs w:val="24"/>
              </w:rPr>
              <w:t xml:space="preserve"> TIPS and transjugular liver biopsy must often be performed at an INR &gt; 1.8 in patients with hepatic coagulopathy. Data suggest that these patients may have normal thrombin generation and may be at lower bleeding risk than indicated by the INR. For TIPS, If INR is acutely elevated from baseline or &gt;3.0, consider checking fibrinogen and if &lt;100mg/dL give fibrinogen replacement (cryoprecipitate or fibrinogen concentrate).</w:t>
            </w:r>
            <w:r w:rsidRPr="006F5CA1">
              <w:rPr>
                <w:rFonts w:ascii="Arial" w:hAnsi="Arial" w:cs="Arial"/>
                <w:sz w:val="18"/>
                <w:szCs w:val="18"/>
              </w:rPr>
              <w:t xml:space="preserve">  </w:t>
            </w:r>
          </w:p>
        </w:tc>
      </w:tr>
    </w:tbl>
    <w:p w14:paraId="3AB537A9" w14:textId="77777777" w:rsidR="00B825E4" w:rsidRPr="006F5CA1" w:rsidRDefault="00000000">
      <w:pPr>
        <w:spacing w:after="120"/>
        <w:jc w:val="center"/>
        <w:rPr>
          <w:rFonts w:ascii="Arial" w:eastAsia="Arial" w:hAnsi="Arial" w:cs="Arial"/>
          <w:color w:val="404040"/>
          <w:sz w:val="24"/>
          <w:szCs w:val="24"/>
        </w:rPr>
        <w:sectPr w:rsidR="00B825E4" w:rsidRPr="006F5CA1" w:rsidSect="0081392F">
          <w:headerReference w:type="default" r:id="rId8"/>
          <w:footerReference w:type="default" r:id="rId9"/>
          <w:headerReference w:type="first" r:id="rId10"/>
          <w:footerReference w:type="first" r:id="rId11"/>
          <w:type w:val="continuous"/>
          <w:pgSz w:w="12240" w:h="15840"/>
          <w:pgMar w:top="1440" w:right="1440" w:bottom="1440" w:left="1440" w:header="720" w:footer="605" w:gutter="0"/>
          <w:cols w:space="720"/>
          <w:titlePg/>
          <w:docGrid w:linePitch="299"/>
        </w:sectPr>
      </w:pPr>
      <w:r w:rsidRPr="006F5CA1">
        <w:rPr>
          <w:rFonts w:ascii="Arial" w:eastAsia="Arial" w:hAnsi="Arial" w:cs="Arial"/>
          <w:color w:val="404040"/>
          <w:sz w:val="24"/>
          <w:szCs w:val="24"/>
        </w:rPr>
        <w:lastRenderedPageBreak/>
        <w:t>-----------------------------------------------------------------------------------------------------------------------------------</w:t>
      </w:r>
    </w:p>
    <w:p w14:paraId="55251008" w14:textId="77777777" w:rsidR="00B825E4" w:rsidRPr="006F5CA1" w:rsidRDefault="00000000">
      <w:pPr>
        <w:widowControl/>
        <w:rPr>
          <w:rFonts w:ascii="Arial" w:eastAsia="Arial" w:hAnsi="Arial" w:cs="Arial"/>
          <w:color w:val="000000"/>
          <w:sz w:val="20"/>
          <w:szCs w:val="20"/>
        </w:rPr>
      </w:pPr>
      <w:bookmarkStart w:id="1" w:name="bookmark=id.30j0zll" w:colFirst="0" w:colLast="0"/>
      <w:bookmarkEnd w:id="1"/>
      <w:r w:rsidRPr="006F5CA1">
        <w:rPr>
          <w:rFonts w:ascii="Arial" w:hAnsi="Arial" w:cs="Arial"/>
        </w:rPr>
        <w:br w:type="page"/>
      </w:r>
    </w:p>
    <w:p w14:paraId="09E4E13F" w14:textId="77777777" w:rsidR="00B825E4" w:rsidRPr="006F5CA1" w:rsidRDefault="00000000">
      <w:pPr>
        <w:rPr>
          <w:rFonts w:ascii="Arial" w:eastAsia="Arial" w:hAnsi="Arial" w:cs="Arial"/>
          <w:color w:val="000000"/>
          <w:sz w:val="20"/>
          <w:szCs w:val="20"/>
        </w:rPr>
      </w:pPr>
      <w:r w:rsidRPr="006F5CA1">
        <w:rPr>
          <w:rFonts w:ascii="Arial" w:eastAsia="Arial" w:hAnsi="Arial" w:cs="Arial"/>
          <w:color w:val="000000"/>
          <w:sz w:val="20"/>
          <w:szCs w:val="20"/>
        </w:rPr>
        <w:lastRenderedPageBreak/>
        <w:t>References:</w:t>
      </w:r>
    </w:p>
    <w:p w14:paraId="5780B347"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FF"/>
          <w:sz w:val="18"/>
          <w:szCs w:val="18"/>
          <w:u w:val="single"/>
        </w:rPr>
      </w:pPr>
      <w:hyperlink r:id="rId12">
        <w:r w:rsidRPr="00C909F5">
          <w:rPr>
            <w:rFonts w:ascii="Arial" w:eastAsia="Arial" w:hAnsi="Arial" w:cs="Arial"/>
            <w:color w:val="0000FF"/>
            <w:sz w:val="18"/>
            <w:szCs w:val="18"/>
            <w:u w:val="single"/>
          </w:rPr>
          <w:t xml:space="preserve">Abdel-Wahab OI, Healy B, Dzik WH. Effect of fresh-frozen plasma transfusion on prothrombin time and bleeding in patients with mild coagulation abnormalities. </w:t>
        </w:r>
      </w:hyperlink>
      <w:hyperlink r:id="rId13">
        <w:r w:rsidRPr="00C909F5">
          <w:rPr>
            <w:rFonts w:ascii="Arial" w:eastAsia="Arial" w:hAnsi="Arial" w:cs="Arial"/>
            <w:i/>
            <w:color w:val="0000FF"/>
            <w:sz w:val="18"/>
            <w:szCs w:val="18"/>
            <w:u w:val="single"/>
          </w:rPr>
          <w:t>Transfusion</w:t>
        </w:r>
      </w:hyperlink>
      <w:r w:rsidRPr="00C909F5">
        <w:rPr>
          <w:rFonts w:ascii="Arial" w:hAnsi="Arial" w:cs="Arial"/>
          <w:sz w:val="18"/>
          <w:szCs w:val="18"/>
        </w:rPr>
        <w:fldChar w:fldCharType="begin"/>
      </w:r>
      <w:r w:rsidRPr="00C909F5">
        <w:rPr>
          <w:rFonts w:ascii="Arial" w:hAnsi="Arial" w:cs="Arial"/>
          <w:sz w:val="18"/>
          <w:szCs w:val="18"/>
        </w:rPr>
        <w:instrText xml:space="preserve"> HYPERLINK "https://onlinelibrary.wiley.com/doi/full/10.1111/j.1537-2995.2006.00891.x" </w:instrText>
      </w:r>
      <w:r w:rsidRPr="00C909F5">
        <w:rPr>
          <w:rFonts w:ascii="Arial" w:hAnsi="Arial" w:cs="Arial"/>
          <w:sz w:val="18"/>
          <w:szCs w:val="18"/>
        </w:rPr>
      </w:r>
      <w:r w:rsidRPr="00C909F5">
        <w:rPr>
          <w:rFonts w:ascii="Arial" w:hAnsi="Arial" w:cs="Arial"/>
          <w:sz w:val="18"/>
          <w:szCs w:val="18"/>
        </w:rPr>
        <w:fldChar w:fldCharType="separate"/>
      </w:r>
      <w:r w:rsidRPr="00C909F5">
        <w:rPr>
          <w:rFonts w:ascii="Arial" w:eastAsia="Arial" w:hAnsi="Arial" w:cs="Arial"/>
          <w:color w:val="0000FF"/>
          <w:sz w:val="18"/>
          <w:szCs w:val="18"/>
          <w:u w:val="single"/>
        </w:rPr>
        <w:t>. 2006;46(8):1279-1285.   doi.org/10.1111/j.1537-2995.2006.00891.x</w:t>
      </w:r>
    </w:p>
    <w:p w14:paraId="7F6A8F7E"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5E5E5E"/>
          <w:sz w:val="18"/>
          <w:szCs w:val="18"/>
        </w:rPr>
      </w:pPr>
      <w:r w:rsidRPr="00C909F5">
        <w:rPr>
          <w:rFonts w:ascii="Arial" w:hAnsi="Arial" w:cs="Arial"/>
          <w:sz w:val="18"/>
          <w:szCs w:val="18"/>
        </w:rPr>
        <w:fldChar w:fldCharType="end"/>
      </w:r>
      <w:hyperlink r:id="rId14">
        <w:r w:rsidRPr="00C909F5">
          <w:rPr>
            <w:rFonts w:ascii="Arial" w:eastAsia="Arial" w:hAnsi="Arial" w:cs="Arial"/>
            <w:color w:val="0000FF"/>
            <w:sz w:val="18"/>
            <w:szCs w:val="18"/>
            <w:u w:val="single"/>
          </w:rPr>
          <w:t xml:space="preserve">Lauzier F, Cook D, Griffith L, Upton J, Crowther M. Fresh frozen plasma transfusion in critically ill patients. </w:t>
        </w:r>
      </w:hyperlink>
      <w:hyperlink r:id="rId15">
        <w:r w:rsidRPr="00C909F5">
          <w:rPr>
            <w:rFonts w:ascii="Arial" w:eastAsia="Arial" w:hAnsi="Arial" w:cs="Arial"/>
            <w:i/>
            <w:color w:val="0000FF"/>
            <w:sz w:val="18"/>
            <w:szCs w:val="18"/>
            <w:u w:val="single"/>
          </w:rPr>
          <w:t>Crit Care Med.</w:t>
        </w:r>
      </w:hyperlink>
      <w:hyperlink r:id="rId16">
        <w:r w:rsidRPr="00C909F5">
          <w:rPr>
            <w:rFonts w:ascii="Arial" w:eastAsia="Arial" w:hAnsi="Arial" w:cs="Arial"/>
            <w:color w:val="0000FF"/>
            <w:sz w:val="18"/>
            <w:szCs w:val="18"/>
            <w:u w:val="single"/>
          </w:rPr>
          <w:t xml:space="preserve"> 2007;35:1655–59. doi: 10.1097/01.CCM.0000269370.59214.97</w:t>
        </w:r>
      </w:hyperlink>
    </w:p>
    <w:p w14:paraId="360FD9C6"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17">
        <w:r w:rsidRPr="00C909F5">
          <w:rPr>
            <w:rFonts w:ascii="Arial" w:eastAsia="Arial" w:hAnsi="Arial" w:cs="Arial"/>
            <w:color w:val="0000FF"/>
            <w:sz w:val="18"/>
            <w:szCs w:val="18"/>
            <w:u w:val="single"/>
          </w:rPr>
          <w:t xml:space="preserve">Goldstein JN, Refaai MA, Milling TJ, et al.  Four-factor prothrombin complex concentrate versus plasma for rapid vitamin K antagonist reversal in patients needing urgent surgery or invasive interventions: a phase 3B, open-label, non-inferiority, randomized trial. </w:t>
        </w:r>
      </w:hyperlink>
      <w:hyperlink r:id="rId18">
        <w:r w:rsidRPr="00C909F5">
          <w:rPr>
            <w:rFonts w:ascii="Arial" w:eastAsia="Arial" w:hAnsi="Arial" w:cs="Arial"/>
            <w:i/>
            <w:color w:val="0000FF"/>
            <w:sz w:val="18"/>
            <w:szCs w:val="18"/>
            <w:u w:val="single"/>
          </w:rPr>
          <w:t>Lancet.</w:t>
        </w:r>
      </w:hyperlink>
      <w:hyperlink r:id="rId19">
        <w:r w:rsidRPr="00C909F5">
          <w:rPr>
            <w:rFonts w:ascii="Arial" w:eastAsia="Arial" w:hAnsi="Arial" w:cs="Arial"/>
            <w:color w:val="0000FF"/>
            <w:sz w:val="18"/>
            <w:szCs w:val="18"/>
            <w:u w:val="single"/>
          </w:rPr>
          <w:t xml:space="preserve"> 2015;385:2077-87. doi: 10.1016/S0140-6736(14)61685-8.</w:t>
        </w:r>
      </w:hyperlink>
    </w:p>
    <w:p w14:paraId="1922444B"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20">
        <w:r w:rsidRPr="00C909F5">
          <w:rPr>
            <w:rFonts w:ascii="Arial" w:eastAsia="Arial" w:hAnsi="Arial" w:cs="Arial"/>
            <w:color w:val="0000FF"/>
            <w:sz w:val="18"/>
            <w:szCs w:val="18"/>
            <w:u w:val="single"/>
          </w:rPr>
          <w:t xml:space="preserve">Munoz M, Stensballe J, Ducloy-Bouthers A, et al. Patient blood management in obstetrics: prevention and treatment of postpartum haemorrhage. A NATA consensus statement. </w:t>
        </w:r>
      </w:hyperlink>
      <w:hyperlink r:id="rId21">
        <w:r w:rsidRPr="00C909F5">
          <w:rPr>
            <w:rFonts w:ascii="Arial" w:eastAsia="Arial" w:hAnsi="Arial" w:cs="Arial"/>
            <w:i/>
            <w:color w:val="0000FF"/>
            <w:sz w:val="18"/>
            <w:szCs w:val="18"/>
            <w:u w:val="single"/>
          </w:rPr>
          <w:t>Blood Transfus</w:t>
        </w:r>
      </w:hyperlink>
      <w:hyperlink r:id="rId22">
        <w:r w:rsidRPr="00C909F5">
          <w:rPr>
            <w:rFonts w:ascii="Arial" w:eastAsia="Arial" w:hAnsi="Arial" w:cs="Arial"/>
            <w:color w:val="0000FF"/>
            <w:sz w:val="18"/>
            <w:szCs w:val="18"/>
            <w:u w:val="single"/>
          </w:rPr>
          <w:t>. 2019;17:112-136. doi: 10.2450/2019.0245-18.</w:t>
        </w:r>
      </w:hyperlink>
      <w:r w:rsidRPr="00C909F5">
        <w:rPr>
          <w:rFonts w:ascii="Arial" w:eastAsia="Arial" w:hAnsi="Arial" w:cs="Arial"/>
          <w:color w:val="000000"/>
          <w:sz w:val="18"/>
          <w:szCs w:val="18"/>
        </w:rPr>
        <w:t xml:space="preserve"> </w:t>
      </w:r>
    </w:p>
    <w:p w14:paraId="52A2B009"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23">
        <w:r w:rsidRPr="00C909F5">
          <w:rPr>
            <w:rFonts w:ascii="Arial" w:eastAsia="Arial" w:hAnsi="Arial" w:cs="Arial"/>
            <w:color w:val="0000FF"/>
            <w:sz w:val="18"/>
            <w:szCs w:val="18"/>
            <w:u w:val="single"/>
          </w:rPr>
          <w:t xml:space="preserve">Anglin CO, Spence JS, Warner MA, et al. Effects of platelet and plasma transfusion on outcome in traumatic brain injury patients with moderate bleeding diatheses. </w:t>
        </w:r>
      </w:hyperlink>
      <w:hyperlink r:id="rId24">
        <w:r w:rsidRPr="00C909F5">
          <w:rPr>
            <w:rFonts w:ascii="Arial" w:eastAsia="Arial" w:hAnsi="Arial" w:cs="Arial"/>
            <w:i/>
            <w:color w:val="0000FF"/>
            <w:sz w:val="18"/>
            <w:szCs w:val="18"/>
            <w:u w:val="single"/>
          </w:rPr>
          <w:t>J Neurosurg</w:t>
        </w:r>
      </w:hyperlink>
      <w:hyperlink r:id="rId25">
        <w:r w:rsidRPr="00C909F5">
          <w:rPr>
            <w:rFonts w:ascii="Arial" w:eastAsia="Arial" w:hAnsi="Arial" w:cs="Arial"/>
            <w:color w:val="0000FF"/>
            <w:sz w:val="18"/>
            <w:szCs w:val="18"/>
            <w:u w:val="single"/>
          </w:rPr>
          <w:t>. 2013;118:676-86. doi: 10.3171/2012.11.JNS12622</w:t>
        </w:r>
      </w:hyperlink>
      <w:r w:rsidRPr="00C909F5">
        <w:rPr>
          <w:rFonts w:ascii="Arial" w:eastAsia="Arial" w:hAnsi="Arial" w:cs="Arial"/>
          <w:color w:val="000000"/>
          <w:sz w:val="18"/>
          <w:szCs w:val="18"/>
        </w:rPr>
        <w:t xml:space="preserve"> </w:t>
      </w:r>
    </w:p>
    <w:p w14:paraId="46482B5A"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26">
        <w:r w:rsidRPr="00C909F5">
          <w:rPr>
            <w:rFonts w:ascii="Arial" w:eastAsia="Arial" w:hAnsi="Arial" w:cs="Arial"/>
            <w:color w:val="0000FF"/>
            <w:sz w:val="18"/>
            <w:szCs w:val="18"/>
            <w:u w:val="single"/>
          </w:rPr>
          <w:t xml:space="preserve">Matevosyan K, Madden C, Barnett SL, Beshay JE, Rutherford C, Sarode R. Coagulation factor levels in neurosurgical patients with mild prolongation of prothrombin time: effect on plasma transfusion therapy. </w:t>
        </w:r>
      </w:hyperlink>
      <w:hyperlink r:id="rId27">
        <w:r w:rsidRPr="00C909F5">
          <w:rPr>
            <w:rFonts w:ascii="Arial" w:eastAsia="Arial" w:hAnsi="Arial" w:cs="Arial"/>
            <w:i/>
            <w:color w:val="0000FF"/>
            <w:sz w:val="18"/>
            <w:szCs w:val="18"/>
            <w:u w:val="single"/>
          </w:rPr>
          <w:t>J</w:t>
        </w:r>
      </w:hyperlink>
      <w:hyperlink r:id="rId28">
        <w:r w:rsidRPr="00C909F5">
          <w:rPr>
            <w:rFonts w:ascii="Arial" w:eastAsia="Arial" w:hAnsi="Arial" w:cs="Arial"/>
            <w:color w:val="0000FF"/>
            <w:sz w:val="18"/>
            <w:szCs w:val="18"/>
            <w:u w:val="single"/>
          </w:rPr>
          <w:t xml:space="preserve"> </w:t>
        </w:r>
      </w:hyperlink>
      <w:hyperlink r:id="rId29">
        <w:r w:rsidRPr="00C909F5">
          <w:rPr>
            <w:rFonts w:ascii="Arial" w:eastAsia="Arial" w:hAnsi="Arial" w:cs="Arial"/>
            <w:i/>
            <w:color w:val="0000FF"/>
            <w:sz w:val="18"/>
            <w:szCs w:val="18"/>
            <w:u w:val="single"/>
          </w:rPr>
          <w:t>Neurosurg</w:t>
        </w:r>
      </w:hyperlink>
      <w:hyperlink r:id="rId30">
        <w:r w:rsidRPr="00C909F5">
          <w:rPr>
            <w:rFonts w:ascii="Arial" w:eastAsia="Arial" w:hAnsi="Arial" w:cs="Arial"/>
            <w:color w:val="0000FF"/>
            <w:sz w:val="18"/>
            <w:szCs w:val="18"/>
            <w:u w:val="single"/>
          </w:rPr>
          <w:t>. 2011 Jan;114(1):3-7</w:t>
        </w:r>
      </w:hyperlink>
      <w:r w:rsidRPr="00C909F5">
        <w:rPr>
          <w:rFonts w:ascii="Arial" w:eastAsia="Arial" w:hAnsi="Arial" w:cs="Arial"/>
          <w:color w:val="0000FF"/>
          <w:sz w:val="18"/>
          <w:szCs w:val="18"/>
          <w:u w:val="single"/>
        </w:rPr>
        <w:t xml:space="preserve">. doi: 10.3171/2010.7.JNS091699 </w:t>
      </w:r>
    </w:p>
    <w:p w14:paraId="59B3EC9E"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31">
        <w:r w:rsidRPr="00C909F5">
          <w:rPr>
            <w:rFonts w:ascii="Arial" w:eastAsia="Arial" w:hAnsi="Arial" w:cs="Arial"/>
            <w:color w:val="0000FF"/>
            <w:sz w:val="18"/>
            <w:szCs w:val="18"/>
            <w:u w:val="single"/>
          </w:rPr>
          <w:t xml:space="preserve">Haas B, Chittams JL, Trerotola SO. Large-bore tunneled central venous catheter insertion in patients with coagulopathy. </w:t>
        </w:r>
      </w:hyperlink>
      <w:hyperlink r:id="rId32">
        <w:r w:rsidRPr="00C909F5">
          <w:rPr>
            <w:rFonts w:ascii="Arial" w:eastAsia="Arial" w:hAnsi="Arial" w:cs="Arial"/>
            <w:i/>
            <w:color w:val="0000FF"/>
            <w:sz w:val="18"/>
            <w:szCs w:val="18"/>
            <w:u w:val="single"/>
          </w:rPr>
          <w:t>J Vasc Interv Radiol</w:t>
        </w:r>
      </w:hyperlink>
      <w:hyperlink r:id="rId33">
        <w:r w:rsidRPr="00C909F5">
          <w:rPr>
            <w:rFonts w:ascii="Arial" w:eastAsia="Arial" w:hAnsi="Arial" w:cs="Arial"/>
            <w:color w:val="0000FF"/>
            <w:sz w:val="18"/>
            <w:szCs w:val="18"/>
            <w:u w:val="single"/>
          </w:rPr>
          <w:t>. 2010;21:212-7</w:t>
        </w:r>
      </w:hyperlink>
      <w:r w:rsidRPr="00C909F5">
        <w:rPr>
          <w:rFonts w:ascii="Arial" w:eastAsia="Arial" w:hAnsi="Arial" w:cs="Arial"/>
          <w:color w:val="0000FF"/>
          <w:sz w:val="18"/>
          <w:szCs w:val="18"/>
          <w:u w:val="single"/>
        </w:rPr>
        <w:t>. doi: 10.1016/j.jvir.2009.10.032.</w:t>
      </w:r>
    </w:p>
    <w:p w14:paraId="668949D4" w14:textId="77777777" w:rsidR="00B825E4" w:rsidRPr="00C909F5" w:rsidRDefault="00000000">
      <w:pPr>
        <w:numPr>
          <w:ilvl w:val="0"/>
          <w:numId w:val="1"/>
        </w:numPr>
        <w:pBdr>
          <w:top w:val="nil"/>
          <w:left w:val="nil"/>
          <w:bottom w:val="nil"/>
          <w:right w:val="nil"/>
          <w:between w:val="nil"/>
        </w:pBdr>
        <w:spacing w:line="276" w:lineRule="auto"/>
        <w:rPr>
          <w:rFonts w:ascii="Arial" w:eastAsia="Arial" w:hAnsi="Arial" w:cs="Arial"/>
          <w:color w:val="5E5E5E"/>
          <w:sz w:val="18"/>
          <w:szCs w:val="18"/>
        </w:rPr>
      </w:pPr>
      <w:hyperlink r:id="rId34">
        <w:r w:rsidRPr="00C909F5">
          <w:rPr>
            <w:rFonts w:ascii="Arial" w:eastAsia="Arial" w:hAnsi="Arial" w:cs="Arial"/>
            <w:color w:val="0000FF"/>
            <w:sz w:val="18"/>
            <w:szCs w:val="18"/>
            <w:u w:val="single"/>
          </w:rPr>
          <w:t xml:space="preserve">Yang L, Stanworth S, Hopewell S, Doree C, Murphy M. Is fresh-frozen plasma clinically effective? An update of a systematic review of randomized controlled trials. </w:t>
        </w:r>
      </w:hyperlink>
      <w:hyperlink r:id="rId35">
        <w:r w:rsidRPr="00C909F5">
          <w:rPr>
            <w:rFonts w:ascii="Arial" w:eastAsia="Arial" w:hAnsi="Arial" w:cs="Arial"/>
            <w:i/>
            <w:color w:val="0000FF"/>
            <w:sz w:val="18"/>
            <w:szCs w:val="18"/>
            <w:u w:val="single"/>
          </w:rPr>
          <w:t>Transfusion</w:t>
        </w:r>
      </w:hyperlink>
      <w:hyperlink r:id="rId36">
        <w:r w:rsidRPr="00C909F5">
          <w:rPr>
            <w:rFonts w:ascii="Arial" w:eastAsia="Arial" w:hAnsi="Arial" w:cs="Arial"/>
            <w:color w:val="0000FF"/>
            <w:sz w:val="18"/>
            <w:szCs w:val="18"/>
            <w:u w:val="single"/>
          </w:rPr>
          <w:t>. 2012 Aug;52(8):1673-86. doi: 10.1111/j.1537-2995.2011.03515.x.</w:t>
        </w:r>
      </w:hyperlink>
    </w:p>
    <w:p w14:paraId="3BE24174"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37">
        <w:r w:rsidRPr="00C909F5">
          <w:rPr>
            <w:rFonts w:ascii="Arial" w:eastAsia="Arial" w:hAnsi="Arial" w:cs="Arial"/>
            <w:color w:val="0000FF"/>
            <w:sz w:val="18"/>
            <w:szCs w:val="18"/>
            <w:u w:val="single"/>
          </w:rPr>
          <w:t xml:space="preserve">Muller M, Arbous MS, Spoelstra-de Man AM, et al. Transfusion of fresh-frozen plasma in critically ill patients with a coagulopathy before invasive procedures: a randomized clinical trial (CME). </w:t>
        </w:r>
      </w:hyperlink>
      <w:hyperlink r:id="rId38">
        <w:r w:rsidRPr="00C909F5">
          <w:rPr>
            <w:rFonts w:ascii="Arial" w:eastAsia="Arial" w:hAnsi="Arial" w:cs="Arial"/>
            <w:i/>
            <w:color w:val="0000FF"/>
            <w:sz w:val="18"/>
            <w:szCs w:val="18"/>
            <w:u w:val="single"/>
          </w:rPr>
          <w:t>Transfusion</w:t>
        </w:r>
      </w:hyperlink>
      <w:hyperlink r:id="rId39">
        <w:r w:rsidRPr="00C909F5">
          <w:rPr>
            <w:rFonts w:ascii="Arial" w:eastAsia="Arial" w:hAnsi="Arial" w:cs="Arial"/>
            <w:color w:val="0000FF"/>
            <w:sz w:val="18"/>
            <w:szCs w:val="18"/>
            <w:u w:val="single"/>
          </w:rPr>
          <w:t xml:space="preserve"> 2015; 55(1): 26-35. doi.org/10.1111/trf.12750 </w:t>
        </w:r>
      </w:hyperlink>
    </w:p>
    <w:p w14:paraId="71F5C725"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u w:val="single"/>
        </w:rPr>
      </w:pPr>
      <w:hyperlink r:id="rId40">
        <w:r w:rsidRPr="00C909F5">
          <w:rPr>
            <w:rFonts w:ascii="Arial" w:eastAsia="Arial" w:hAnsi="Arial" w:cs="Arial"/>
            <w:color w:val="0000FF"/>
            <w:sz w:val="18"/>
            <w:szCs w:val="18"/>
            <w:u w:val="single"/>
          </w:rPr>
          <w:t xml:space="preserve">Green L, Bolton-Maggs P, Beattie C,  et al. British Society of Haematology Guidelines on the spectrum of fresh frozen plasma and cryoprecipitate products: their handling and use in various patient groups in the absence of major bleeding. </w:t>
        </w:r>
      </w:hyperlink>
      <w:hyperlink r:id="rId41">
        <w:r w:rsidRPr="00C909F5">
          <w:rPr>
            <w:rFonts w:ascii="Arial" w:eastAsia="Arial" w:hAnsi="Arial" w:cs="Arial"/>
            <w:i/>
            <w:color w:val="0000FF"/>
            <w:sz w:val="18"/>
            <w:szCs w:val="18"/>
            <w:u w:val="single"/>
          </w:rPr>
          <w:t>Br J Haematol</w:t>
        </w:r>
      </w:hyperlink>
      <w:hyperlink r:id="rId42">
        <w:r w:rsidRPr="00C909F5">
          <w:rPr>
            <w:rFonts w:ascii="Arial" w:eastAsia="Arial" w:hAnsi="Arial" w:cs="Arial"/>
            <w:color w:val="0000FF"/>
            <w:sz w:val="18"/>
            <w:szCs w:val="18"/>
            <w:u w:val="single"/>
          </w:rPr>
          <w:t>. 2018;181(1): 54-67. doi.org/10.1111/bjh.15167https:/doi.org/10.1111/bjh.15167</w:t>
        </w:r>
      </w:hyperlink>
      <w:r w:rsidRPr="00C909F5">
        <w:rPr>
          <w:rFonts w:ascii="Arial" w:eastAsia="Arial" w:hAnsi="Arial" w:cs="Arial"/>
          <w:color w:val="0000FF"/>
          <w:sz w:val="18"/>
          <w:szCs w:val="18"/>
          <w:u w:val="single"/>
        </w:rPr>
        <w:t>.</w:t>
      </w:r>
    </w:p>
    <w:p w14:paraId="7CE5C5A2"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u w:val="single"/>
        </w:rPr>
      </w:pPr>
      <w:hyperlink r:id="rId43">
        <w:r w:rsidRPr="00C909F5">
          <w:rPr>
            <w:rFonts w:ascii="Arial" w:eastAsia="Arial" w:hAnsi="Arial" w:cs="Arial"/>
            <w:color w:val="0000FF"/>
            <w:sz w:val="18"/>
            <w:szCs w:val="18"/>
            <w:highlight w:val="white"/>
            <w:u w:val="single"/>
          </w:rPr>
          <w:t xml:space="preserve">Yates S, Gavva C, Agrawal D, Sarode R. How do we transfuse blood components in cirrhotic patients undergoing gastrointestinal procedures? </w:t>
        </w:r>
      </w:hyperlink>
      <w:hyperlink r:id="rId44">
        <w:r w:rsidRPr="00C909F5">
          <w:rPr>
            <w:rFonts w:ascii="Arial" w:eastAsia="Arial" w:hAnsi="Arial" w:cs="Arial"/>
            <w:i/>
            <w:color w:val="0000FF"/>
            <w:sz w:val="18"/>
            <w:szCs w:val="18"/>
            <w:highlight w:val="white"/>
            <w:u w:val="single"/>
          </w:rPr>
          <w:t>Transfusion</w:t>
        </w:r>
      </w:hyperlink>
      <w:hyperlink r:id="rId45">
        <w:r w:rsidRPr="00C909F5">
          <w:rPr>
            <w:rFonts w:ascii="Arial" w:eastAsia="Arial" w:hAnsi="Arial" w:cs="Arial"/>
            <w:color w:val="0000FF"/>
            <w:sz w:val="18"/>
            <w:szCs w:val="18"/>
            <w:highlight w:val="white"/>
            <w:u w:val="single"/>
          </w:rPr>
          <w:t>. 2016;56(4):791-798. doi.org/10.1111/trf.13495</w:t>
        </w:r>
      </w:hyperlink>
    </w:p>
    <w:bookmarkStart w:id="2" w:name="_heading=h.1fob9te" w:colFirst="0" w:colLast="0"/>
    <w:bookmarkEnd w:id="2"/>
    <w:p w14:paraId="15DBC6F9"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rPr>
      </w:pPr>
      <w:r w:rsidRPr="00C909F5">
        <w:rPr>
          <w:rFonts w:ascii="Arial" w:hAnsi="Arial" w:cs="Arial"/>
          <w:sz w:val="18"/>
          <w:szCs w:val="18"/>
        </w:rPr>
        <w:fldChar w:fldCharType="begin"/>
      </w:r>
      <w:r w:rsidRPr="00C909F5">
        <w:rPr>
          <w:rFonts w:ascii="Arial" w:hAnsi="Arial" w:cs="Arial"/>
          <w:sz w:val="18"/>
          <w:szCs w:val="18"/>
        </w:rPr>
        <w:instrText>HYPERLINK "https://onlinelibrary.wiley.com/doi/abs/10.1111/vox.12251" \h</w:instrText>
      </w:r>
      <w:r w:rsidRPr="00C909F5">
        <w:rPr>
          <w:rFonts w:ascii="Arial" w:hAnsi="Arial" w:cs="Arial"/>
          <w:sz w:val="18"/>
          <w:szCs w:val="18"/>
        </w:rPr>
      </w:r>
      <w:r w:rsidRPr="00C909F5">
        <w:rPr>
          <w:rFonts w:ascii="Arial" w:hAnsi="Arial" w:cs="Arial"/>
          <w:sz w:val="18"/>
          <w:szCs w:val="18"/>
        </w:rPr>
        <w:fldChar w:fldCharType="separate"/>
      </w:r>
      <w:r w:rsidRPr="00C909F5">
        <w:rPr>
          <w:rFonts w:ascii="Arial" w:eastAsia="Arial" w:hAnsi="Arial" w:cs="Arial"/>
          <w:color w:val="0000FF"/>
          <w:sz w:val="18"/>
          <w:szCs w:val="18"/>
          <w:u w:val="single"/>
        </w:rPr>
        <w:t xml:space="preserve">Cardigan R, Green L. Thawed and liquid plasma – what do we know? </w:t>
      </w:r>
      <w:r w:rsidRPr="00C909F5">
        <w:rPr>
          <w:rFonts w:ascii="Arial" w:eastAsia="Arial" w:hAnsi="Arial" w:cs="Arial"/>
          <w:color w:val="0000FF"/>
          <w:sz w:val="18"/>
          <w:szCs w:val="18"/>
          <w:u w:val="single"/>
        </w:rPr>
        <w:fldChar w:fldCharType="end"/>
      </w:r>
      <w:hyperlink r:id="rId46">
        <w:r w:rsidRPr="00C909F5">
          <w:rPr>
            <w:rFonts w:ascii="Arial" w:eastAsia="Arial" w:hAnsi="Arial" w:cs="Arial"/>
            <w:i/>
            <w:color w:val="0000FF"/>
            <w:sz w:val="18"/>
            <w:szCs w:val="18"/>
            <w:u w:val="single"/>
          </w:rPr>
          <w:t>Vox Sanguinis</w:t>
        </w:r>
      </w:hyperlink>
      <w:hyperlink r:id="rId47">
        <w:r w:rsidRPr="00C909F5">
          <w:rPr>
            <w:rFonts w:ascii="Arial" w:eastAsia="Arial" w:hAnsi="Arial" w:cs="Arial"/>
            <w:color w:val="0000FF"/>
            <w:sz w:val="18"/>
            <w:szCs w:val="18"/>
            <w:u w:val="single"/>
          </w:rPr>
          <w:t xml:space="preserve">. 2015;109(1):1-10. doi: 10.1111/vox.12251.  </w:t>
        </w:r>
      </w:hyperlink>
      <w:r w:rsidRPr="00C909F5">
        <w:rPr>
          <w:rFonts w:ascii="Arial" w:eastAsia="Arial" w:hAnsi="Arial" w:cs="Arial"/>
          <w:color w:val="000000"/>
          <w:sz w:val="18"/>
          <w:szCs w:val="18"/>
        </w:rPr>
        <w:t xml:space="preserve"> </w:t>
      </w:r>
    </w:p>
    <w:p w14:paraId="2B6D0052"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48">
        <w:r w:rsidRPr="00C909F5">
          <w:rPr>
            <w:rFonts w:ascii="Arial" w:eastAsia="Arial" w:hAnsi="Arial" w:cs="Arial"/>
            <w:color w:val="0000FF"/>
            <w:sz w:val="18"/>
            <w:szCs w:val="18"/>
            <w:u w:val="single"/>
          </w:rPr>
          <w:t xml:space="preserve">Backholer L, Green L, Huish S, et al. A paired comparison of thawed and liquid plasma. </w:t>
        </w:r>
      </w:hyperlink>
      <w:hyperlink r:id="rId49">
        <w:r w:rsidRPr="00C909F5">
          <w:rPr>
            <w:rFonts w:ascii="Arial" w:eastAsia="Arial" w:hAnsi="Arial" w:cs="Arial"/>
            <w:i/>
            <w:color w:val="0000FF"/>
            <w:sz w:val="18"/>
            <w:szCs w:val="18"/>
            <w:u w:val="single"/>
          </w:rPr>
          <w:t>Transfusion</w:t>
        </w:r>
      </w:hyperlink>
      <w:hyperlink r:id="rId50">
        <w:r w:rsidRPr="00C909F5">
          <w:rPr>
            <w:rFonts w:ascii="Arial" w:eastAsia="Arial" w:hAnsi="Arial" w:cs="Arial"/>
            <w:color w:val="0000FF"/>
            <w:sz w:val="18"/>
            <w:szCs w:val="18"/>
            <w:u w:val="single"/>
          </w:rPr>
          <w:t>. 2017; 57(4):881-889. https://onlinelibrary.wiley.com/doi/abs/10.1111/trf.13915</w:t>
        </w:r>
      </w:hyperlink>
    </w:p>
    <w:p w14:paraId="0FB216AB" w14:textId="77777777" w:rsidR="00B825E4" w:rsidRPr="00C909F5" w:rsidRDefault="00000000">
      <w:pPr>
        <w:widowControl/>
        <w:numPr>
          <w:ilvl w:val="0"/>
          <w:numId w:val="1"/>
        </w:numPr>
        <w:pBdr>
          <w:top w:val="nil"/>
          <w:left w:val="nil"/>
          <w:bottom w:val="nil"/>
          <w:right w:val="nil"/>
          <w:between w:val="nil"/>
        </w:pBdr>
        <w:spacing w:line="276" w:lineRule="auto"/>
        <w:rPr>
          <w:rFonts w:ascii="Arial" w:eastAsia="Arial" w:hAnsi="Arial" w:cs="Arial"/>
          <w:color w:val="000000"/>
          <w:sz w:val="18"/>
          <w:szCs w:val="18"/>
        </w:rPr>
      </w:pPr>
      <w:hyperlink r:id="rId51">
        <w:r w:rsidRPr="00C909F5">
          <w:rPr>
            <w:rFonts w:ascii="Arial" w:eastAsia="Arial" w:hAnsi="Arial" w:cs="Arial"/>
            <w:color w:val="0000FF"/>
            <w:sz w:val="18"/>
            <w:szCs w:val="18"/>
            <w:u w:val="single"/>
          </w:rPr>
          <w:t xml:space="preserve">Huebner BR, Moore EE, Moore HB, et al. 14-Day thawed plasma retains clot enhancing properties and inhibits tPA-induced fibrinolysis. </w:t>
        </w:r>
      </w:hyperlink>
      <w:hyperlink r:id="rId52">
        <w:r w:rsidRPr="00C909F5">
          <w:rPr>
            <w:rFonts w:ascii="Arial" w:eastAsia="Arial" w:hAnsi="Arial" w:cs="Arial"/>
            <w:i/>
            <w:color w:val="0000FF"/>
            <w:sz w:val="18"/>
            <w:szCs w:val="18"/>
            <w:u w:val="single"/>
          </w:rPr>
          <w:t>Journal of Surgical Research</w:t>
        </w:r>
      </w:hyperlink>
      <w:hyperlink r:id="rId53">
        <w:r w:rsidRPr="00C909F5">
          <w:rPr>
            <w:rFonts w:ascii="Arial" w:eastAsia="Arial" w:hAnsi="Arial" w:cs="Arial"/>
            <w:color w:val="0000FF"/>
            <w:sz w:val="18"/>
            <w:szCs w:val="18"/>
            <w:u w:val="single"/>
          </w:rPr>
          <w:t>. 2017;219:145-150. doi.org/10.1016/j.jss.2017.05.030</w:t>
        </w:r>
      </w:hyperlink>
    </w:p>
    <w:p w14:paraId="3E1C5F89"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00"/>
          <w:sz w:val="18"/>
          <w:szCs w:val="18"/>
        </w:rPr>
      </w:pPr>
      <w:hyperlink r:id="rId54">
        <w:r w:rsidRPr="00C909F5">
          <w:rPr>
            <w:rFonts w:ascii="Arial" w:eastAsia="Arial" w:hAnsi="Arial" w:cs="Arial"/>
            <w:color w:val="0000FF"/>
            <w:sz w:val="18"/>
            <w:szCs w:val="18"/>
            <w:highlight w:val="white"/>
            <w:u w:val="single"/>
          </w:rPr>
          <w:t xml:space="preserve">Neisser-Svae A, Trawnicek L, Heger A, et al. Five-day stability of thawed plasma: solvent/detergent-treated plasma comparable with fresh-frozen plasma and plasma frozen within 24 hours. </w:t>
        </w:r>
      </w:hyperlink>
      <w:hyperlink r:id="rId55">
        <w:r w:rsidRPr="00C909F5">
          <w:rPr>
            <w:rFonts w:ascii="Arial" w:eastAsia="Arial" w:hAnsi="Arial" w:cs="Arial"/>
            <w:i/>
            <w:color w:val="0000FF"/>
            <w:sz w:val="18"/>
            <w:szCs w:val="18"/>
            <w:highlight w:val="white"/>
            <w:u w:val="single"/>
          </w:rPr>
          <w:t>Transfusion</w:t>
        </w:r>
      </w:hyperlink>
      <w:hyperlink r:id="rId56">
        <w:r w:rsidRPr="00C909F5">
          <w:rPr>
            <w:rFonts w:ascii="Arial" w:eastAsia="Arial" w:hAnsi="Arial" w:cs="Arial"/>
            <w:color w:val="0000FF"/>
            <w:sz w:val="18"/>
            <w:szCs w:val="18"/>
            <w:highlight w:val="white"/>
            <w:u w:val="single"/>
          </w:rPr>
          <w:t>. 2016; 56(2):404-409. doi.org/10.1111/trf.13356</w:t>
        </w:r>
      </w:hyperlink>
    </w:p>
    <w:p w14:paraId="6189D433"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00"/>
          <w:sz w:val="18"/>
          <w:szCs w:val="18"/>
        </w:rPr>
      </w:pPr>
      <w:hyperlink r:id="rId57">
        <w:r w:rsidRPr="00C909F5">
          <w:rPr>
            <w:rFonts w:ascii="Arial" w:eastAsia="Arial" w:hAnsi="Arial" w:cs="Arial"/>
            <w:color w:val="0000FF"/>
            <w:sz w:val="18"/>
            <w:szCs w:val="18"/>
            <w:highlight w:val="white"/>
            <w:u w:val="single"/>
          </w:rPr>
          <w:t xml:space="preserve">Erickson A, Waldhaus K, David T, et al. Plasma treated with amotosalen and ultraviolet A light retains activity for hemostasis after 5 days post-thaw storage at 1 to 6⁰C. </w:t>
        </w:r>
      </w:hyperlink>
      <w:hyperlink r:id="rId58">
        <w:r w:rsidRPr="00C909F5">
          <w:rPr>
            <w:rFonts w:ascii="Arial" w:eastAsia="Arial" w:hAnsi="Arial" w:cs="Arial"/>
            <w:i/>
            <w:color w:val="0000FF"/>
            <w:sz w:val="18"/>
            <w:szCs w:val="18"/>
            <w:highlight w:val="white"/>
            <w:u w:val="single"/>
          </w:rPr>
          <w:t>Transfusion</w:t>
        </w:r>
      </w:hyperlink>
      <w:hyperlink r:id="rId59">
        <w:r w:rsidRPr="00C909F5">
          <w:rPr>
            <w:rFonts w:ascii="Arial" w:eastAsia="Arial" w:hAnsi="Arial" w:cs="Arial"/>
            <w:color w:val="0000FF"/>
            <w:sz w:val="18"/>
            <w:szCs w:val="18"/>
            <w:highlight w:val="white"/>
            <w:u w:val="single"/>
          </w:rPr>
          <w:t>. 2017;57(4): 997-1006. doi.org/10.1111/trf.13973</w:t>
        </w:r>
      </w:hyperlink>
    </w:p>
    <w:p w14:paraId="7F9E82AA"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00"/>
          <w:sz w:val="18"/>
          <w:szCs w:val="18"/>
        </w:rPr>
      </w:pPr>
      <w:hyperlink r:id="rId60">
        <w:r w:rsidRPr="00C909F5">
          <w:rPr>
            <w:rFonts w:ascii="Arial" w:eastAsia="Arial" w:hAnsi="Arial" w:cs="Arial"/>
            <w:color w:val="0000FF"/>
            <w:sz w:val="18"/>
            <w:szCs w:val="18"/>
            <w:u w:val="single"/>
          </w:rPr>
          <w:t>Degos V, Westbroek E, Lawton, M, Hemphill JC 3</w:t>
        </w:r>
      </w:hyperlink>
      <w:hyperlink r:id="rId61">
        <w:r w:rsidRPr="00C909F5">
          <w:rPr>
            <w:rFonts w:ascii="Arial" w:eastAsia="Arial" w:hAnsi="Arial" w:cs="Arial"/>
            <w:color w:val="0000FF"/>
            <w:sz w:val="18"/>
            <w:szCs w:val="18"/>
            <w:u w:val="single"/>
            <w:vertAlign w:val="superscript"/>
          </w:rPr>
          <w:t>rd</w:t>
        </w:r>
      </w:hyperlink>
      <w:hyperlink r:id="rId62">
        <w:r w:rsidRPr="00C909F5">
          <w:rPr>
            <w:rFonts w:ascii="Arial" w:eastAsia="Arial" w:hAnsi="Arial" w:cs="Arial"/>
            <w:color w:val="0000FF"/>
            <w:sz w:val="18"/>
            <w:szCs w:val="18"/>
            <w:u w:val="single"/>
          </w:rPr>
          <w:t xml:space="preserve">, Del Zoppo GJ, Young WL. Perioperative management of coagulation in nontraumatic intracerebral hemorrhage. </w:t>
        </w:r>
      </w:hyperlink>
      <w:hyperlink r:id="rId63">
        <w:r w:rsidRPr="00C909F5">
          <w:rPr>
            <w:rFonts w:ascii="Arial" w:eastAsia="Arial" w:hAnsi="Arial" w:cs="Arial"/>
            <w:i/>
            <w:color w:val="0000FF"/>
            <w:sz w:val="18"/>
            <w:szCs w:val="18"/>
            <w:u w:val="single"/>
          </w:rPr>
          <w:t>Anesthesiology</w:t>
        </w:r>
      </w:hyperlink>
      <w:hyperlink r:id="rId64">
        <w:r w:rsidRPr="00C909F5">
          <w:rPr>
            <w:rFonts w:ascii="Arial" w:eastAsia="Arial" w:hAnsi="Arial" w:cs="Arial"/>
            <w:color w:val="0000FF"/>
            <w:sz w:val="18"/>
            <w:szCs w:val="18"/>
            <w:u w:val="single"/>
          </w:rPr>
          <w:t>. 2013;119(1):218-224. doi:10.1097/ALN.0b013e318297c18a.</w:t>
        </w:r>
      </w:hyperlink>
      <w:r w:rsidRPr="00C909F5">
        <w:rPr>
          <w:rFonts w:ascii="Arial" w:eastAsia="Arial" w:hAnsi="Arial" w:cs="Arial"/>
          <w:color w:val="000000"/>
          <w:sz w:val="18"/>
          <w:szCs w:val="18"/>
        </w:rPr>
        <w:t xml:space="preserve"> </w:t>
      </w:r>
    </w:p>
    <w:p w14:paraId="7F07A14D"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FF"/>
          <w:sz w:val="18"/>
          <w:szCs w:val="18"/>
          <w:u w:val="single"/>
        </w:rPr>
      </w:pPr>
      <w:bookmarkStart w:id="3" w:name="_heading=h.3znysh7" w:colFirst="0" w:colLast="0"/>
      <w:bookmarkEnd w:id="3"/>
      <w:r w:rsidRPr="00C909F5">
        <w:rPr>
          <w:rFonts w:ascii="Arial" w:eastAsia="Arial" w:hAnsi="Arial" w:cs="Arial"/>
          <w:color w:val="0000FF"/>
          <w:sz w:val="18"/>
          <w:szCs w:val="18"/>
          <w:u w:val="single"/>
        </w:rPr>
        <w:t xml:space="preserve">Davidson JC, Rahim S, Hanks SE, et al. Society of Interventional Radiology Consensus Guidelines for the Periprocedural Management of Thrombotic and Bleeding Risk in Patients Undergoing Percutaneous Image-Guided Interventions—Part I: Review of Anticoagulation Agents and Clinical Considerations. </w:t>
      </w:r>
      <w:r w:rsidRPr="00C909F5">
        <w:rPr>
          <w:rFonts w:ascii="Arial" w:eastAsia="Arial" w:hAnsi="Arial" w:cs="Arial"/>
          <w:i/>
          <w:color w:val="0000FF"/>
          <w:sz w:val="18"/>
          <w:szCs w:val="18"/>
          <w:u w:val="single"/>
        </w:rPr>
        <w:t>J Vasc Interv Radiol.</w:t>
      </w:r>
      <w:r w:rsidRPr="00C909F5">
        <w:rPr>
          <w:rFonts w:ascii="Arial" w:eastAsia="Arial" w:hAnsi="Arial" w:cs="Arial"/>
          <w:color w:val="0000FF"/>
          <w:sz w:val="18"/>
          <w:szCs w:val="18"/>
          <w:u w:val="single"/>
        </w:rPr>
        <w:t xml:space="preserve"> 2019;30:1155-1167.</w:t>
      </w:r>
    </w:p>
    <w:p w14:paraId="62C3F664"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FF"/>
          <w:sz w:val="18"/>
          <w:szCs w:val="18"/>
          <w:u w:val="single"/>
        </w:rPr>
      </w:pPr>
      <w:r w:rsidRPr="00C909F5">
        <w:rPr>
          <w:rFonts w:ascii="Arial" w:eastAsia="Arial" w:hAnsi="Arial" w:cs="Arial"/>
          <w:color w:val="0000FF"/>
          <w:sz w:val="18"/>
          <w:szCs w:val="18"/>
          <w:u w:val="single"/>
        </w:rPr>
        <w:t xml:space="preserve">Patel IJ, Rahim S, Davidson JC, et al. Society of Interventional Radiology Consensus Guidelines for the Periprocedural Management of Thrombotic and Bleeding Risk in Patients Undergoing Percutaneous Image-Guided Interventions—Part II: Recommendations. </w:t>
      </w:r>
      <w:r w:rsidRPr="00C909F5">
        <w:rPr>
          <w:rFonts w:ascii="Arial" w:eastAsia="Arial" w:hAnsi="Arial" w:cs="Arial"/>
          <w:i/>
          <w:color w:val="0000FF"/>
          <w:sz w:val="18"/>
          <w:szCs w:val="18"/>
          <w:u w:val="single"/>
        </w:rPr>
        <w:t>J Vasc Interv Radiol.</w:t>
      </w:r>
      <w:r w:rsidRPr="00C909F5">
        <w:rPr>
          <w:rFonts w:ascii="Arial" w:eastAsia="Arial" w:hAnsi="Arial" w:cs="Arial"/>
          <w:color w:val="0000FF"/>
          <w:sz w:val="18"/>
          <w:szCs w:val="18"/>
          <w:u w:val="single"/>
        </w:rPr>
        <w:t xml:space="preserve"> 2019;30:1168-1184.</w:t>
      </w:r>
    </w:p>
    <w:p w14:paraId="12D03811" w14:textId="77777777" w:rsidR="00B825E4" w:rsidRPr="00C909F5" w:rsidRDefault="00000000">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FF"/>
          <w:sz w:val="18"/>
          <w:szCs w:val="18"/>
          <w:u w:val="single"/>
        </w:rPr>
      </w:pPr>
      <w:hyperlink r:id="rId65">
        <w:r w:rsidRPr="00C909F5">
          <w:rPr>
            <w:rFonts w:ascii="Arial" w:eastAsia="Arial" w:hAnsi="Arial" w:cs="Arial"/>
            <w:color w:val="0000FF"/>
            <w:sz w:val="18"/>
            <w:szCs w:val="18"/>
            <w:u w:val="single"/>
          </w:rPr>
          <w:t>Zhang LM, Li R, Zhao XC, Zhang Q, Luo XL. Increased transfusion of fresh frozen plasma is associated with mortality or worse functional outcomes after severe traumatic brain injury: a retrospective study</w:t>
        </w:r>
      </w:hyperlink>
      <w:hyperlink r:id="rId66">
        <w:r w:rsidRPr="00C909F5">
          <w:rPr>
            <w:rFonts w:ascii="Arial" w:eastAsia="Arial" w:hAnsi="Arial" w:cs="Arial"/>
            <w:i/>
            <w:color w:val="0000FF"/>
            <w:sz w:val="18"/>
            <w:szCs w:val="18"/>
            <w:u w:val="single"/>
          </w:rPr>
          <w:t>.</w:t>
        </w:r>
      </w:hyperlink>
      <w:hyperlink r:id="rId67">
        <w:r w:rsidRPr="00C909F5">
          <w:rPr>
            <w:rFonts w:ascii="Arial" w:eastAsia="Arial" w:hAnsi="Arial" w:cs="Arial"/>
            <w:color w:val="0000FF"/>
            <w:sz w:val="18"/>
            <w:szCs w:val="18"/>
            <w:u w:val="single"/>
          </w:rPr>
          <w:t xml:space="preserve"> </w:t>
        </w:r>
      </w:hyperlink>
      <w:hyperlink r:id="rId68">
        <w:r w:rsidRPr="00C909F5">
          <w:rPr>
            <w:rFonts w:ascii="Arial" w:eastAsia="Arial" w:hAnsi="Arial" w:cs="Arial"/>
            <w:i/>
            <w:color w:val="0000FF"/>
            <w:sz w:val="18"/>
            <w:szCs w:val="18"/>
            <w:u w:val="single"/>
          </w:rPr>
          <w:t>World Neurosurg</w:t>
        </w:r>
      </w:hyperlink>
      <w:hyperlink r:id="rId69">
        <w:r w:rsidRPr="00C909F5">
          <w:rPr>
            <w:rFonts w:ascii="Arial" w:eastAsia="Arial" w:hAnsi="Arial" w:cs="Arial"/>
            <w:color w:val="0000FF"/>
            <w:sz w:val="18"/>
            <w:szCs w:val="18"/>
            <w:u w:val="single"/>
          </w:rPr>
          <w:t>. 2017; 104:381-389. doi:10.1016/j.wneu.2017.04.140.</w:t>
        </w:r>
      </w:hyperlink>
    </w:p>
    <w:p w14:paraId="3CD7F1FE" w14:textId="4DE0C0F8" w:rsidR="00B825E4" w:rsidRPr="00C909F5" w:rsidRDefault="00000000" w:rsidP="00C909F5">
      <w:pPr>
        <w:widowControl/>
        <w:numPr>
          <w:ilvl w:val="0"/>
          <w:numId w:val="1"/>
        </w:numPr>
        <w:pBdr>
          <w:top w:val="nil"/>
          <w:left w:val="nil"/>
          <w:bottom w:val="nil"/>
          <w:right w:val="nil"/>
          <w:between w:val="nil"/>
        </w:pBdr>
        <w:tabs>
          <w:tab w:val="left" w:pos="2896"/>
        </w:tabs>
        <w:spacing w:line="276" w:lineRule="auto"/>
        <w:rPr>
          <w:rFonts w:ascii="Arial" w:eastAsia="Arial" w:hAnsi="Arial" w:cs="Arial"/>
          <w:color w:val="0000FF"/>
          <w:sz w:val="18"/>
          <w:szCs w:val="18"/>
          <w:u w:val="single"/>
        </w:rPr>
      </w:pPr>
      <w:hyperlink r:id="rId70">
        <w:r w:rsidRPr="00C909F5">
          <w:rPr>
            <w:rFonts w:ascii="Arial" w:eastAsia="Arial" w:hAnsi="Arial" w:cs="Arial"/>
            <w:color w:val="0000FF"/>
            <w:sz w:val="18"/>
            <w:szCs w:val="18"/>
            <w:u w:val="single"/>
          </w:rPr>
          <w:t xml:space="preserve">Stolla M, Zhang F, Meyer MR, Zhang J, Dong JF. Current state of transfusion in traumatic brain injury and associated coagulopathy. </w:t>
        </w:r>
      </w:hyperlink>
      <w:hyperlink r:id="rId71">
        <w:r w:rsidRPr="00C909F5">
          <w:rPr>
            <w:rFonts w:ascii="Arial" w:eastAsia="Arial" w:hAnsi="Arial" w:cs="Arial"/>
            <w:i/>
            <w:color w:val="0000FF"/>
            <w:sz w:val="18"/>
            <w:szCs w:val="18"/>
            <w:u w:val="single"/>
          </w:rPr>
          <w:t>Transfusion</w:t>
        </w:r>
      </w:hyperlink>
      <w:hyperlink r:id="rId72">
        <w:r w:rsidRPr="00C909F5">
          <w:rPr>
            <w:rFonts w:ascii="Arial" w:eastAsia="Arial" w:hAnsi="Arial" w:cs="Arial"/>
            <w:color w:val="0000FF"/>
            <w:sz w:val="18"/>
            <w:szCs w:val="18"/>
            <w:u w:val="single"/>
          </w:rPr>
          <w:t xml:space="preserve">. 2019;59:1522-1528. doi: 10.1111/trf.15169. </w:t>
        </w:r>
      </w:hyperlink>
      <w:r w:rsidRPr="00C909F5">
        <w:rPr>
          <w:rFonts w:ascii="Arial" w:eastAsia="Arial" w:hAnsi="Arial" w:cs="Arial"/>
          <w:color w:val="000000"/>
          <w:sz w:val="18"/>
          <w:szCs w:val="18"/>
        </w:rPr>
        <w:t xml:space="preserve"> </w:t>
      </w:r>
    </w:p>
    <w:sectPr w:rsidR="00B825E4" w:rsidRPr="00C909F5" w:rsidSect="0081392F">
      <w:headerReference w:type="default" r:id="rId73"/>
      <w:type w:val="continuous"/>
      <w:pgSz w:w="12240" w:h="15840"/>
      <w:pgMar w:top="1530" w:right="720" w:bottom="900" w:left="720" w:header="72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0583" w14:textId="77777777" w:rsidR="006A4666" w:rsidRDefault="006A4666">
      <w:r>
        <w:separator/>
      </w:r>
    </w:p>
  </w:endnote>
  <w:endnote w:type="continuationSeparator" w:id="0">
    <w:p w14:paraId="562FFE61" w14:textId="77777777" w:rsidR="006A4666" w:rsidRDefault="006A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F3E0" w14:textId="731D9D04" w:rsidR="00B825E4" w:rsidRDefault="00000000" w:rsidP="006F5CA1">
    <w:pPr>
      <w:pBdr>
        <w:top w:val="nil"/>
        <w:left w:val="nil"/>
        <w:bottom w:val="nil"/>
        <w:right w:val="nil"/>
        <w:between w:val="nil"/>
      </w:pBdr>
      <w:tabs>
        <w:tab w:val="center" w:pos="4320"/>
        <w:tab w:val="right" w:pos="8640"/>
      </w:tabs>
      <w:rPr>
        <w:rFonts w:ascii="Arial" w:eastAsia="Arial" w:hAnsi="Arial" w:cs="Arial"/>
        <w:color w:val="000000"/>
        <w:sz w:val="14"/>
        <w:szCs w:val="14"/>
      </w:rPr>
    </w:pPr>
    <w:r>
      <w:rPr>
        <w:noProof/>
      </w:rPr>
      <mc:AlternateContent>
        <mc:Choice Requires="wps">
          <w:drawing>
            <wp:anchor distT="0" distB="0" distL="114300" distR="114300" simplePos="0" relativeHeight="251667456" behindDoc="0" locked="0" layoutInCell="1" hidden="0" allowOverlap="1" wp14:anchorId="3469DE48" wp14:editId="5C8151A3">
              <wp:simplePos x="0" y="0"/>
              <wp:positionH relativeFrom="column">
                <wp:posOffset>-685799</wp:posOffset>
              </wp:positionH>
              <wp:positionV relativeFrom="paragraph">
                <wp:posOffset>723900</wp:posOffset>
              </wp:positionV>
              <wp:extent cx="7781925" cy="55244"/>
              <wp:effectExtent l="0" t="0" r="0" b="0"/>
              <wp:wrapNone/>
              <wp:docPr id="51" name="Rectangle 51"/>
              <wp:cNvGraphicFramePr/>
              <a:graphic xmlns:a="http://schemas.openxmlformats.org/drawingml/2006/main">
                <a:graphicData uri="http://schemas.microsoft.com/office/word/2010/wordprocessingShape">
                  <wps:wsp>
                    <wps:cNvSpPr/>
                    <wps:spPr>
                      <a:xfrm>
                        <a:off x="1459800" y="3757141"/>
                        <a:ext cx="7772400" cy="45719"/>
                      </a:xfrm>
                      <a:prstGeom prst="rect">
                        <a:avLst/>
                      </a:prstGeom>
                      <a:solidFill>
                        <a:srgbClr val="E5E5E5"/>
                      </a:solidFill>
                      <a:ln>
                        <a:noFill/>
                      </a:ln>
                    </wps:spPr>
                    <wps:txbx>
                      <w:txbxContent>
                        <w:p w14:paraId="383A8734" w14:textId="77777777" w:rsidR="00B825E4" w:rsidRDefault="00B825E4">
                          <w:pPr>
                            <w:textDirection w:val="btLr"/>
                          </w:pPr>
                        </w:p>
                      </w:txbxContent>
                    </wps:txbx>
                    <wps:bodyPr spcFirstLastPara="1" wrap="square" lIns="91425" tIns="91425" rIns="91425" bIns="91425" anchor="ctr" anchorCtr="0">
                      <a:noAutofit/>
                    </wps:bodyPr>
                  </wps:wsp>
                </a:graphicData>
              </a:graphic>
            </wp:anchor>
          </w:drawing>
        </mc:Choice>
        <mc:Fallback>
          <w:pict>
            <v:rect w14:anchorId="3469DE48" id="Rectangle 51" o:spid="_x0000_s1029" style="position:absolute;margin-left:-54pt;margin-top:57pt;width:612.7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" fillcolor="#e5e5e5" stroked="f">
              <v:textbox inset="2.53958mm,2.53958mm,2.53958mm,2.53958mm">
                <w:txbxContent>
                  <w:p w14:paraId="383A8734" w14:textId="77777777" w:rsidR="00B825E4" w:rsidRDefault="00B825E4">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B8E2" w14:textId="77777777" w:rsidR="00B825E4"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9504" behindDoc="0" locked="0" layoutInCell="1" hidden="0" allowOverlap="1" wp14:anchorId="151FD67C" wp14:editId="01740554">
              <wp:simplePos x="0" y="0"/>
              <wp:positionH relativeFrom="column">
                <wp:posOffset>-457199</wp:posOffset>
              </wp:positionH>
              <wp:positionV relativeFrom="paragraph">
                <wp:posOffset>203200</wp:posOffset>
              </wp:positionV>
              <wp:extent cx="7781925" cy="238125"/>
              <wp:effectExtent l="0" t="0" r="0" b="0"/>
              <wp:wrapNone/>
              <wp:docPr id="46" name="Rectangle 46"/>
              <wp:cNvGraphicFramePr/>
              <a:graphic xmlns:a="http://schemas.openxmlformats.org/drawingml/2006/main">
                <a:graphicData uri="http://schemas.microsoft.com/office/word/2010/wordprocessingShape">
                  <wps:wsp>
                    <wps:cNvSpPr/>
                    <wps:spPr>
                      <a:xfrm>
                        <a:off x="1459800" y="3665700"/>
                        <a:ext cx="7772400" cy="228600"/>
                      </a:xfrm>
                      <a:prstGeom prst="rect">
                        <a:avLst/>
                      </a:prstGeom>
                      <a:noFill/>
                      <a:ln>
                        <a:noFill/>
                      </a:ln>
                    </wps:spPr>
                    <wps:txbx>
                      <w:txbxContent>
                        <w:p w14:paraId="1170FE2A" w14:textId="77777777" w:rsidR="00B825E4" w:rsidRDefault="00000000">
                          <w:pPr>
                            <w:jc w:val="center"/>
                            <w:textDirection w:val="btLr"/>
                          </w:pPr>
                          <w:r>
                            <w:rPr>
                              <w:rFonts w:ascii="Arial" w:eastAsia="Arial" w:hAnsi="Arial" w:cs="Arial"/>
                              <w:color w:val="404040"/>
                              <w:sz w:val="16"/>
                            </w:rPr>
                            <w:t>© 2016 ACCUMEN Inc. Visit us online at Accumen.com</w:t>
                          </w:r>
                        </w:p>
                        <w:p w14:paraId="36D343AF" w14:textId="77777777" w:rsidR="00B825E4" w:rsidRDefault="00B825E4">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51FD67C" id="Rectangle 46" o:spid="_x0000_s1030" style="position:absolute;margin-left:-36pt;margin-top:16pt;width:612.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" filled="f" stroked="f">
              <v:textbox inset="2.53958mm,1.2694mm,2.53958mm,1.2694mm">
                <w:txbxContent>
                  <w:p w14:paraId="1170FE2A" w14:textId="77777777" w:rsidR="00B825E4" w:rsidRDefault="00000000">
                    <w:pPr>
                      <w:jc w:val="center"/>
                      <w:textDirection w:val="btLr"/>
                    </w:pPr>
                    <w:r>
                      <w:rPr>
                        <w:rFonts w:ascii="Arial" w:eastAsia="Arial" w:hAnsi="Arial" w:cs="Arial"/>
                        <w:color w:val="404040"/>
                        <w:sz w:val="16"/>
                      </w:rPr>
                      <w:t>© 2016 ACCUMEN Inc. Visit us online at Accumen.com</w:t>
                    </w:r>
                  </w:p>
                  <w:p w14:paraId="36D343AF" w14:textId="77777777" w:rsidR="00B825E4" w:rsidRDefault="00B825E4">
                    <w:pPr>
                      <w:jc w:val="center"/>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AFD166B" wp14:editId="3A51FBD6">
              <wp:simplePos x="0" y="0"/>
              <wp:positionH relativeFrom="column">
                <wp:posOffset>-457199</wp:posOffset>
              </wp:positionH>
              <wp:positionV relativeFrom="paragraph">
                <wp:posOffset>368300</wp:posOffset>
              </wp:positionV>
              <wp:extent cx="7781925" cy="238125"/>
              <wp:effectExtent l="0" t="0" r="0" b="0"/>
              <wp:wrapNone/>
              <wp:docPr id="53" name="Rectangle 53"/>
              <wp:cNvGraphicFramePr/>
              <a:graphic xmlns:a="http://schemas.openxmlformats.org/drawingml/2006/main">
                <a:graphicData uri="http://schemas.microsoft.com/office/word/2010/wordprocessingShape">
                  <wps:wsp>
                    <wps:cNvSpPr/>
                    <wps:spPr>
                      <a:xfrm>
                        <a:off x="1459800" y="3665700"/>
                        <a:ext cx="7772400" cy="228600"/>
                      </a:xfrm>
                      <a:prstGeom prst="rect">
                        <a:avLst/>
                      </a:prstGeom>
                      <a:solidFill>
                        <a:srgbClr val="E5E5E5"/>
                      </a:solidFill>
                      <a:ln>
                        <a:noFill/>
                      </a:ln>
                    </wps:spPr>
                    <wps:txbx>
                      <w:txbxContent>
                        <w:p w14:paraId="47DE8604" w14:textId="77777777" w:rsidR="00B825E4" w:rsidRDefault="00B825E4">
                          <w:pPr>
                            <w:textDirection w:val="btLr"/>
                          </w:pPr>
                        </w:p>
                      </w:txbxContent>
                    </wps:txbx>
                    <wps:bodyPr spcFirstLastPara="1" wrap="square" lIns="91425" tIns="91425" rIns="91425" bIns="91425" anchor="ctr" anchorCtr="0">
                      <a:noAutofit/>
                    </wps:bodyPr>
                  </wps:wsp>
                </a:graphicData>
              </a:graphic>
            </wp:anchor>
          </w:drawing>
        </mc:Choice>
        <mc:Fallback>
          <w:pict>
            <v:rect w14:anchorId="5AFD166B" id="Rectangle 53" o:spid="_x0000_s1031" style="position:absolute;margin-left:-36pt;margin-top:29pt;width:612.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" fillcolor="#e5e5e5" stroked="f">
              <v:textbox inset="2.53958mm,2.53958mm,2.53958mm,2.53958mm">
                <w:txbxContent>
                  <w:p w14:paraId="47DE8604" w14:textId="77777777" w:rsidR="00B825E4" w:rsidRDefault="00B825E4">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90F1" w14:textId="77777777" w:rsidR="006A4666" w:rsidRDefault="006A4666">
      <w:r>
        <w:separator/>
      </w:r>
    </w:p>
  </w:footnote>
  <w:footnote w:type="continuationSeparator" w:id="0">
    <w:p w14:paraId="68B102CF" w14:textId="77777777" w:rsidR="006A4666" w:rsidRDefault="006A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2909" w14:textId="77777777" w:rsidR="00B825E4" w:rsidRDefault="00000000">
    <w:pPr>
      <w:pBdr>
        <w:top w:val="nil"/>
        <w:left w:val="nil"/>
        <w:bottom w:val="nil"/>
        <w:right w:val="nil"/>
        <w:between w:val="nil"/>
      </w:pBdr>
      <w:tabs>
        <w:tab w:val="center" w:pos="4320"/>
        <w:tab w:val="right" w:pos="8640"/>
      </w:tabs>
      <w:rPr>
        <w:color w:val="000000"/>
      </w:rPr>
    </w:pPr>
    <w:r>
      <w:rPr>
        <w:color w:val="000000"/>
        <w:sz w:val="24"/>
        <w:szCs w:val="24"/>
      </w:rPr>
      <w:t xml:space="preserve"> </w:t>
    </w:r>
    <w:r>
      <w:rPr>
        <w:noProof/>
      </w:rPr>
      <mc:AlternateContent>
        <mc:Choice Requires="wps">
          <w:drawing>
            <wp:anchor distT="0" distB="0" distL="114300" distR="114300" simplePos="0" relativeHeight="251664384" behindDoc="0" locked="0" layoutInCell="1" hidden="0" allowOverlap="1" wp14:anchorId="5BBCD064" wp14:editId="7593712E">
              <wp:simplePos x="0" y="0"/>
              <wp:positionH relativeFrom="column">
                <wp:posOffset>5473700</wp:posOffset>
              </wp:positionH>
              <wp:positionV relativeFrom="paragraph">
                <wp:posOffset>444500</wp:posOffset>
              </wp:positionV>
              <wp:extent cx="1495425" cy="238125"/>
              <wp:effectExtent l="0" t="0" r="0" b="0"/>
              <wp:wrapSquare wrapText="bothSides" distT="0" distB="0" distL="114300" distR="114300"/>
              <wp:docPr id="45" name="Rectangle 45"/>
              <wp:cNvGraphicFramePr/>
              <a:graphic xmlns:a="http://schemas.openxmlformats.org/drawingml/2006/main">
                <a:graphicData uri="http://schemas.microsoft.com/office/word/2010/wordprocessingShape">
                  <wps:wsp>
                    <wps:cNvSpPr/>
                    <wps:spPr>
                      <a:xfrm>
                        <a:off x="4603050" y="3665700"/>
                        <a:ext cx="1485900" cy="228600"/>
                      </a:xfrm>
                      <a:prstGeom prst="rect">
                        <a:avLst/>
                      </a:prstGeom>
                      <a:noFill/>
                      <a:ln>
                        <a:noFill/>
                      </a:ln>
                    </wps:spPr>
                    <wps:txbx>
                      <w:txbxContent>
                        <w:p w14:paraId="0CF82D4E" w14:textId="77777777" w:rsidR="00B825E4" w:rsidRDefault="00000000">
                          <w:pPr>
                            <w:textDirection w:val="btLr"/>
                          </w:pPr>
                          <w:r>
                            <w:rPr>
                              <w:rFonts w:ascii="Trebuchet MS" w:eastAsia="Trebuchet MS" w:hAnsi="Trebuchet MS" w:cs="Trebuchet MS"/>
                              <w:color w:val="FFFFFF"/>
                            </w:rPr>
                            <w:t>ACCUMEN.COM</w:t>
                          </w:r>
                        </w:p>
                      </w:txbxContent>
                    </wps:txbx>
                    <wps:bodyPr spcFirstLastPara="1" wrap="square" lIns="91425" tIns="45700" rIns="91425" bIns="45700" anchor="t" anchorCtr="0">
                      <a:noAutofit/>
                    </wps:bodyPr>
                  </wps:wsp>
                </a:graphicData>
              </a:graphic>
            </wp:anchor>
          </w:drawing>
        </mc:Choice>
        <mc:Fallback>
          <w:pict>
            <v:rect w14:anchorId="5BBCD064" id="Rectangle 45" o:spid="_x0000_s1028" style="position:absolute;margin-left:431pt;margin-top:35pt;width:117.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" filled="f" stroked="f">
              <v:textbox inset="2.53958mm,1.2694mm,2.53958mm,1.2694mm">
                <w:txbxContent>
                  <w:p w14:paraId="0CF82D4E" w14:textId="77777777" w:rsidR="00B825E4" w:rsidRDefault="00000000">
                    <w:pPr>
                      <w:textDirection w:val="btLr"/>
                    </w:pPr>
                    <w:r>
                      <w:rPr>
                        <w:rFonts w:ascii="Trebuchet MS" w:eastAsia="Trebuchet MS" w:hAnsi="Trebuchet MS" w:cs="Trebuchet MS"/>
                        <w:color w:val="FFFFFF"/>
                      </w:rPr>
                      <w:t>ACCUMEN.COM</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BCC" w14:textId="1DF17F14" w:rsidR="00B825E4" w:rsidRDefault="00B825E4" w:rsidP="0081392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F707" w14:textId="68021D9C" w:rsidR="00B825E4" w:rsidRDefault="00B825E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7B21"/>
    <w:multiLevelType w:val="multilevel"/>
    <w:tmpl w:val="E67CB9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AC4233"/>
    <w:multiLevelType w:val="multilevel"/>
    <w:tmpl w:val="B1E2BC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EBB7E9C"/>
    <w:multiLevelType w:val="multilevel"/>
    <w:tmpl w:val="DD30271E"/>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20113321">
    <w:abstractNumId w:val="2"/>
  </w:num>
  <w:num w:numId="2" w16cid:durableId="1746950751">
    <w:abstractNumId w:val="0"/>
  </w:num>
  <w:num w:numId="3" w16cid:durableId="30096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4"/>
    <w:rsid w:val="006A4666"/>
    <w:rsid w:val="006F5CA1"/>
    <w:rsid w:val="0081392F"/>
    <w:rsid w:val="009B1556"/>
    <w:rsid w:val="00B825E4"/>
    <w:rsid w:val="00C909F5"/>
    <w:rsid w:val="00E7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F0DA3"/>
  <w15:docId w15:val="{F62B5AB3-11F6-D241-BB36-B163287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DA"/>
  </w:style>
  <w:style w:type="paragraph" w:styleId="Heading1">
    <w:name w:val="heading 1"/>
    <w:basedOn w:val="Normal"/>
    <w:link w:val="Heading1Char"/>
    <w:uiPriority w:val="9"/>
    <w:qFormat/>
    <w:rsid w:val="00CD15DA"/>
    <w:pPr>
      <w:ind w:left="100"/>
      <w:outlineLvl w:val="0"/>
    </w:pPr>
    <w:rPr>
      <w:rFonts w:ascii="Arial" w:eastAsia="Arial" w:hAnsi="Arial"/>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97CD8"/>
    <w:pPr>
      <w:keepNext/>
      <w:keepLines/>
      <w:spacing w:before="200"/>
      <w:outlineLvl w:val="2"/>
    </w:pPr>
    <w:rPr>
      <w:rFonts w:ascii="Calibri" w:eastAsia="MS Gothic" w:hAnsi="Calibri"/>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15DA"/>
  </w:style>
  <w:style w:type="paragraph" w:customStyle="1" w:styleId="TableParagraph">
    <w:name w:val="Table Paragraph"/>
    <w:basedOn w:val="Normal"/>
    <w:uiPriority w:val="1"/>
    <w:qFormat/>
    <w:rsid w:val="00CD15DA"/>
  </w:style>
  <w:style w:type="character" w:customStyle="1" w:styleId="Heading1Char">
    <w:name w:val="Heading 1 Char"/>
    <w:link w:val="Heading1"/>
    <w:uiPriority w:val="1"/>
    <w:rsid w:val="00CD15DA"/>
    <w:rPr>
      <w:rFonts w:ascii="Arial" w:eastAsia="Arial" w:hAnsi="Arial"/>
      <w:sz w:val="22"/>
      <w:szCs w:val="22"/>
    </w:rPr>
  </w:style>
  <w:style w:type="paragraph" w:styleId="BodyText">
    <w:name w:val="Body Text"/>
    <w:basedOn w:val="Normal"/>
    <w:link w:val="BodyTextChar"/>
    <w:uiPriority w:val="1"/>
    <w:qFormat/>
    <w:rsid w:val="00CD15DA"/>
    <w:pPr>
      <w:ind w:left="1182" w:hanging="360"/>
    </w:pPr>
    <w:rPr>
      <w:rFonts w:ascii="Arial" w:eastAsia="Arial" w:hAnsi="Arial"/>
      <w:sz w:val="20"/>
      <w:szCs w:val="20"/>
    </w:rPr>
  </w:style>
  <w:style w:type="character" w:customStyle="1" w:styleId="BodyTextChar">
    <w:name w:val="Body Text Char"/>
    <w:link w:val="BodyText"/>
    <w:uiPriority w:val="1"/>
    <w:rsid w:val="00CD15DA"/>
    <w:rPr>
      <w:rFonts w:ascii="Arial" w:eastAsia="Arial" w:hAnsi="Arial"/>
      <w:sz w:val="20"/>
      <w:szCs w:val="20"/>
    </w:rPr>
  </w:style>
  <w:style w:type="paragraph" w:styleId="Header">
    <w:name w:val="header"/>
    <w:basedOn w:val="Normal"/>
    <w:link w:val="HeaderChar"/>
    <w:uiPriority w:val="99"/>
    <w:unhideWhenUsed/>
    <w:rsid w:val="00191083"/>
    <w:pPr>
      <w:tabs>
        <w:tab w:val="center" w:pos="4320"/>
        <w:tab w:val="right" w:pos="8640"/>
      </w:tabs>
    </w:pPr>
  </w:style>
  <w:style w:type="character" w:customStyle="1" w:styleId="HeaderChar">
    <w:name w:val="Header Char"/>
    <w:link w:val="Header"/>
    <w:uiPriority w:val="99"/>
    <w:rsid w:val="00191083"/>
    <w:rPr>
      <w:rFonts w:eastAsia="Cambria"/>
      <w:sz w:val="22"/>
      <w:szCs w:val="22"/>
    </w:rPr>
  </w:style>
  <w:style w:type="paragraph" w:styleId="Footer">
    <w:name w:val="footer"/>
    <w:basedOn w:val="Normal"/>
    <w:link w:val="FooterChar"/>
    <w:uiPriority w:val="99"/>
    <w:unhideWhenUsed/>
    <w:rsid w:val="00191083"/>
    <w:pPr>
      <w:tabs>
        <w:tab w:val="center" w:pos="4320"/>
        <w:tab w:val="right" w:pos="8640"/>
      </w:tabs>
    </w:pPr>
  </w:style>
  <w:style w:type="character" w:customStyle="1" w:styleId="FooterChar">
    <w:name w:val="Footer Char"/>
    <w:link w:val="Footer"/>
    <w:uiPriority w:val="99"/>
    <w:rsid w:val="00191083"/>
    <w:rPr>
      <w:rFonts w:eastAsia="Cambria"/>
      <w:sz w:val="22"/>
      <w:szCs w:val="22"/>
    </w:rPr>
  </w:style>
  <w:style w:type="paragraph" w:styleId="BalloonText">
    <w:name w:val="Balloon Text"/>
    <w:basedOn w:val="Normal"/>
    <w:link w:val="BalloonTextChar"/>
    <w:uiPriority w:val="99"/>
    <w:semiHidden/>
    <w:unhideWhenUsed/>
    <w:rsid w:val="00D77D8A"/>
    <w:rPr>
      <w:rFonts w:ascii="Lucida Grande" w:hAnsi="Lucida Grande" w:cs="Lucida Grande"/>
      <w:sz w:val="18"/>
      <w:szCs w:val="18"/>
    </w:rPr>
  </w:style>
  <w:style w:type="character" w:customStyle="1" w:styleId="BalloonTextChar">
    <w:name w:val="Balloon Text Char"/>
    <w:link w:val="BalloonText"/>
    <w:uiPriority w:val="99"/>
    <w:semiHidden/>
    <w:rsid w:val="00D77D8A"/>
    <w:rPr>
      <w:rFonts w:ascii="Lucida Grande" w:eastAsia="Cambria" w:hAnsi="Lucida Grande" w:cs="Lucida Grande"/>
      <w:sz w:val="18"/>
      <w:szCs w:val="18"/>
    </w:rPr>
  </w:style>
  <w:style w:type="character" w:styleId="Hyperlink">
    <w:name w:val="Hyperlink"/>
    <w:uiPriority w:val="99"/>
    <w:unhideWhenUsed/>
    <w:rsid w:val="00CC74D5"/>
    <w:rPr>
      <w:color w:val="0000FF"/>
      <w:u w:val="single"/>
    </w:rPr>
  </w:style>
  <w:style w:type="character" w:customStyle="1" w:styleId="Heading3Char">
    <w:name w:val="Heading 3 Char"/>
    <w:link w:val="Heading3"/>
    <w:uiPriority w:val="9"/>
    <w:rsid w:val="00297CD8"/>
    <w:rPr>
      <w:rFonts w:ascii="Calibri" w:eastAsia="MS Gothic" w:hAnsi="Calibri" w:cs="Times New Roman"/>
      <w:b/>
      <w:bCs/>
      <w:color w:val="4F81BD"/>
      <w:sz w:val="22"/>
      <w:szCs w:val="22"/>
    </w:rPr>
  </w:style>
  <w:style w:type="paragraph" w:customStyle="1" w:styleId="grey">
    <w:name w:val="grey"/>
    <w:basedOn w:val="Normal"/>
    <w:rsid w:val="00297CD8"/>
    <w:pPr>
      <w:widowControl/>
      <w:spacing w:before="100" w:beforeAutospacing="1" w:after="100" w:afterAutospacing="1"/>
    </w:pPr>
    <w:rPr>
      <w:rFonts w:ascii="Times" w:eastAsia="MS Mincho" w:hAnsi="Times"/>
      <w:sz w:val="20"/>
      <w:szCs w:val="20"/>
    </w:rPr>
  </w:style>
  <w:style w:type="character" w:styleId="PageNumber">
    <w:name w:val="page number"/>
    <w:basedOn w:val="DefaultParagraphFont"/>
    <w:uiPriority w:val="99"/>
    <w:semiHidden/>
    <w:unhideWhenUsed/>
    <w:rsid w:val="00F5280F"/>
  </w:style>
  <w:style w:type="character" w:styleId="FollowedHyperlink">
    <w:name w:val="FollowedHyperlink"/>
    <w:uiPriority w:val="99"/>
    <w:semiHidden/>
    <w:unhideWhenUsed/>
    <w:rsid w:val="00490905"/>
    <w:rPr>
      <w:color w:val="800080"/>
      <w:u w:val="single"/>
    </w:rPr>
  </w:style>
  <w:style w:type="character" w:styleId="CommentReference">
    <w:name w:val="annotation reference"/>
    <w:basedOn w:val="DefaultParagraphFont"/>
    <w:uiPriority w:val="99"/>
    <w:semiHidden/>
    <w:unhideWhenUsed/>
    <w:rsid w:val="00C66B9F"/>
    <w:rPr>
      <w:sz w:val="16"/>
      <w:szCs w:val="16"/>
    </w:rPr>
  </w:style>
  <w:style w:type="paragraph" w:styleId="CommentText">
    <w:name w:val="annotation text"/>
    <w:basedOn w:val="Normal"/>
    <w:link w:val="CommentTextChar"/>
    <w:uiPriority w:val="99"/>
    <w:semiHidden/>
    <w:unhideWhenUsed/>
    <w:rsid w:val="00C66B9F"/>
    <w:rPr>
      <w:sz w:val="20"/>
      <w:szCs w:val="20"/>
    </w:rPr>
  </w:style>
  <w:style w:type="character" w:customStyle="1" w:styleId="CommentTextChar">
    <w:name w:val="Comment Text Char"/>
    <w:basedOn w:val="DefaultParagraphFont"/>
    <w:link w:val="CommentText"/>
    <w:uiPriority w:val="99"/>
    <w:semiHidden/>
    <w:rsid w:val="00C66B9F"/>
    <w:rPr>
      <w:rFonts w:eastAsia="Cambria"/>
    </w:rPr>
  </w:style>
  <w:style w:type="character" w:styleId="UnresolvedMention">
    <w:name w:val="Unresolved Mention"/>
    <w:basedOn w:val="DefaultParagraphFont"/>
    <w:uiPriority w:val="99"/>
    <w:semiHidden/>
    <w:unhideWhenUsed/>
    <w:rsid w:val="0076053D"/>
    <w:rPr>
      <w:color w:val="808080"/>
      <w:shd w:val="clear" w:color="auto" w:fill="E6E6E6"/>
    </w:rPr>
  </w:style>
  <w:style w:type="paragraph" w:customStyle="1" w:styleId="Policy">
    <w:name w:val="Policy"/>
    <w:basedOn w:val="Normal"/>
    <w:rsid w:val="00AF734E"/>
    <w:pPr>
      <w:widowControl/>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F734E"/>
    <w:rPr>
      <w:b/>
      <w:bCs/>
    </w:rPr>
  </w:style>
  <w:style w:type="character" w:customStyle="1" w:styleId="CommentSubjectChar">
    <w:name w:val="Comment Subject Char"/>
    <w:basedOn w:val="CommentTextChar"/>
    <w:link w:val="CommentSubject"/>
    <w:uiPriority w:val="99"/>
    <w:semiHidden/>
    <w:rsid w:val="00AF734E"/>
    <w:rPr>
      <w:rFonts w:eastAsia="Cambria"/>
      <w:b/>
      <w:bCs/>
    </w:rPr>
  </w:style>
  <w:style w:type="table" w:styleId="TableGrid">
    <w:name w:val="Table Grid"/>
    <w:basedOn w:val="TableNormal"/>
    <w:uiPriority w:val="59"/>
    <w:rsid w:val="000F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ncbi.nlm.nih.gov/pubmed/20815699" TargetMode="External"/><Relationship Id="rId21" Type="http://schemas.openxmlformats.org/officeDocument/2006/relationships/hyperlink" Target="http://www.bloodtransfusion.it/articolo.aspx?idart=003221&amp;idriv=000142" TargetMode="External"/><Relationship Id="rId42" Type="http://schemas.openxmlformats.org/officeDocument/2006/relationships/hyperlink" Target="https://doi.org/10.1111/bjh.15167" TargetMode="External"/><Relationship Id="rId47" Type="http://schemas.openxmlformats.org/officeDocument/2006/relationships/hyperlink" Target="https://onlinelibrary.wiley.com/doi/abs/10.1111/vox.12251" TargetMode="External"/><Relationship Id="rId63" Type="http://schemas.openxmlformats.org/officeDocument/2006/relationships/hyperlink" Target="http://anesthesiology.pubs.asahq.org/article.aspx?articleid=1918328" TargetMode="External"/><Relationship Id="rId68" Type="http://schemas.openxmlformats.org/officeDocument/2006/relationships/hyperlink" Target="https://www.sciencedirect.com/science/article/abs/pii/S1878875017306484?via%3Dihub" TargetMode="External"/><Relationship Id="rId2" Type="http://schemas.openxmlformats.org/officeDocument/2006/relationships/numbering" Target="numbering.xml"/><Relationship Id="rId16" Type="http://schemas.openxmlformats.org/officeDocument/2006/relationships/hyperlink" Target="http://www.ncbi.nlm.nih.gov/pubmed/17522577" TargetMode="External"/><Relationship Id="rId29" Type="http://schemas.openxmlformats.org/officeDocument/2006/relationships/hyperlink" Target="http://www.ncbi.nlm.nih.gov/pubmed/20815699" TargetMode="External"/><Relationship Id="rId11" Type="http://schemas.openxmlformats.org/officeDocument/2006/relationships/footer" Target="footer2.xml"/><Relationship Id="rId24" Type="http://schemas.openxmlformats.org/officeDocument/2006/relationships/hyperlink" Target="http://www.ncbi.nlm.nih.gov/pubmed/23259827" TargetMode="External"/><Relationship Id="rId32" Type="http://schemas.openxmlformats.org/officeDocument/2006/relationships/hyperlink" Target="http://www.ncbi.nlm.nih.gov/pubmed/20123206" TargetMode="External"/><Relationship Id="rId37" Type="http://schemas.openxmlformats.org/officeDocument/2006/relationships/hyperlink" Target="about:blank" TargetMode="External"/><Relationship Id="rId40" Type="http://schemas.openxmlformats.org/officeDocument/2006/relationships/hyperlink" Target="https://doi.org/10.1111/bjh.15167" TargetMode="External"/><Relationship Id="rId45" Type="http://schemas.openxmlformats.org/officeDocument/2006/relationships/hyperlink" Target="https://doi.org/10.1111/trf.13495" TargetMode="External"/><Relationship Id="rId53" Type="http://schemas.openxmlformats.org/officeDocument/2006/relationships/hyperlink" Target="http://dx.doi.org/10.1016/j.jss.2017.05.030" TargetMode="External"/><Relationship Id="rId58" Type="http://schemas.openxmlformats.org/officeDocument/2006/relationships/hyperlink" Target="https://doi.org/10.1111/trf.13973" TargetMode="External"/><Relationship Id="rId66" Type="http://schemas.openxmlformats.org/officeDocument/2006/relationships/hyperlink" Target="https://www.sciencedirect.com/science/article/abs/pii/S1878875017306484?via%3Dihub"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nesthesiology.pubs.asahq.org/article.aspx?articleid=1918328" TargetMode="External"/><Relationship Id="rId19" Type="http://schemas.openxmlformats.org/officeDocument/2006/relationships/hyperlink" Target="https://www.thelancet.com/journals/lancet/article/PIIS0140-6736(14)61685-8/fulltext" TargetMode="External"/><Relationship Id="rId14" Type="http://schemas.openxmlformats.org/officeDocument/2006/relationships/hyperlink" Target="http://www.ncbi.nlm.nih.gov/pubmed/17522577" TargetMode="External"/><Relationship Id="rId22" Type="http://schemas.openxmlformats.org/officeDocument/2006/relationships/hyperlink" Target="http://www.bloodtransfusion.it/articolo.aspx?idart=003221&amp;idriv=000142" TargetMode="External"/><Relationship Id="rId27" Type="http://schemas.openxmlformats.org/officeDocument/2006/relationships/hyperlink" Target="http://www.ncbi.nlm.nih.gov/pubmed/20815699" TargetMode="External"/><Relationship Id="rId30" Type="http://schemas.openxmlformats.org/officeDocument/2006/relationships/hyperlink" Target="http://www.ncbi.nlm.nih.gov/pubmed/20815699" TargetMode="External"/><Relationship Id="rId35" Type="http://schemas.openxmlformats.org/officeDocument/2006/relationships/hyperlink" Target="http://www.ncbi.nlm.nih.gov/pubmed/22257164" TargetMode="External"/><Relationship Id="rId43" Type="http://schemas.openxmlformats.org/officeDocument/2006/relationships/hyperlink" Target="https://doi.org/10.1111/trf.13495" TargetMode="External"/><Relationship Id="rId48" Type="http://schemas.openxmlformats.org/officeDocument/2006/relationships/hyperlink" Target="about:blank" TargetMode="External"/><Relationship Id="rId56" Type="http://schemas.openxmlformats.org/officeDocument/2006/relationships/hyperlink" Target="http://doi.org/10.1111/trf.13356" TargetMode="External"/><Relationship Id="rId64" Type="http://schemas.openxmlformats.org/officeDocument/2006/relationships/hyperlink" Target="http://anesthesiology.pubs.asahq.org/article.aspx?articleid=1918328" TargetMode="External"/><Relationship Id="rId69" Type="http://schemas.openxmlformats.org/officeDocument/2006/relationships/hyperlink" Target="https://www.sciencedirect.com/science/article/abs/pii/S1878875017306484?via%3Dihub" TargetMode="External"/><Relationship Id="rId8" Type="http://schemas.openxmlformats.org/officeDocument/2006/relationships/header" Target="header1.xml"/><Relationship Id="rId51" Type="http://schemas.openxmlformats.org/officeDocument/2006/relationships/hyperlink" Target="http://dx.doi.org/10.1016/j.jss.2017.05.030" TargetMode="External"/><Relationship Id="rId72" Type="http://schemas.openxmlformats.org/officeDocument/2006/relationships/hyperlink" Target="https://onlinelibrary.wiley.com/doi/full/10.1111/trf.15169" TargetMode="External"/><Relationship Id="rId3" Type="http://schemas.openxmlformats.org/officeDocument/2006/relationships/styles" Target="styles.xml"/><Relationship Id="rId12" Type="http://schemas.openxmlformats.org/officeDocument/2006/relationships/hyperlink" Target="https://onlinelibrary.wiley.com/doi/full/10.1111/j.1537-2995.2006.00891.x" TargetMode="External"/><Relationship Id="rId17" Type="http://schemas.openxmlformats.org/officeDocument/2006/relationships/hyperlink" Target="https://www.thelancet.com/journals/lancet/article/PIIS0140-6736(14)61685-8/fulltext" TargetMode="External"/><Relationship Id="rId25" Type="http://schemas.openxmlformats.org/officeDocument/2006/relationships/hyperlink" Target="http://www.ncbi.nlm.nih.gov/pubmed/23259827" TargetMode="External"/><Relationship Id="rId33" Type="http://schemas.openxmlformats.org/officeDocument/2006/relationships/hyperlink" Target="http://www.ncbi.nlm.nih.gov/pubmed/20123206" TargetMode="External"/><Relationship Id="rId38" Type="http://schemas.openxmlformats.org/officeDocument/2006/relationships/hyperlink" Target="about:blank" TargetMode="External"/><Relationship Id="rId46" Type="http://schemas.openxmlformats.org/officeDocument/2006/relationships/hyperlink" Target="https://onlinelibrary.wiley.com/doi/abs/10.1111/vox.12251" TargetMode="External"/><Relationship Id="rId59" Type="http://schemas.openxmlformats.org/officeDocument/2006/relationships/hyperlink" Target="https://doi.org/10.1111/trf.13973" TargetMode="External"/><Relationship Id="rId67" Type="http://schemas.openxmlformats.org/officeDocument/2006/relationships/hyperlink" Target="https://www.sciencedirect.com/science/article/abs/pii/S1878875017306484?via%3Dihub" TargetMode="External"/><Relationship Id="rId20" Type="http://schemas.openxmlformats.org/officeDocument/2006/relationships/hyperlink" Target="http://www.bloodtransfusion.it/articolo.aspx?idart=003221&amp;idriv=000142" TargetMode="External"/><Relationship Id="rId41" Type="http://schemas.openxmlformats.org/officeDocument/2006/relationships/hyperlink" Target="https://doi.org/10.1111/bjh.15167" TargetMode="External"/><Relationship Id="rId54" Type="http://schemas.openxmlformats.org/officeDocument/2006/relationships/hyperlink" Target="http://doi.org/10.1111/trf.13356" TargetMode="External"/><Relationship Id="rId62" Type="http://schemas.openxmlformats.org/officeDocument/2006/relationships/hyperlink" Target="http://anesthesiology.pubs.asahq.org/article.aspx?articleid=1918328" TargetMode="External"/><Relationship Id="rId70" Type="http://schemas.openxmlformats.org/officeDocument/2006/relationships/hyperlink" Target="https://onlinelibrary.wiley.com/doi/full/10.1111/trf.15169"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17522577" TargetMode="External"/><Relationship Id="rId23" Type="http://schemas.openxmlformats.org/officeDocument/2006/relationships/hyperlink" Target="http://www.ncbi.nlm.nih.gov/pubmed/23259827" TargetMode="External"/><Relationship Id="rId28" Type="http://schemas.openxmlformats.org/officeDocument/2006/relationships/hyperlink" Target="http://www.ncbi.nlm.nih.gov/pubmed/20815699" TargetMode="External"/><Relationship Id="rId36" Type="http://schemas.openxmlformats.org/officeDocument/2006/relationships/hyperlink" Target="http://www.ncbi.nlm.nih.gov/pubmed/22257164" TargetMode="External"/><Relationship Id="rId49" Type="http://schemas.openxmlformats.org/officeDocument/2006/relationships/hyperlink" Target="about:blank" TargetMode="External"/><Relationship Id="rId57" Type="http://schemas.openxmlformats.org/officeDocument/2006/relationships/hyperlink" Target="https://doi.org/10.1111/trf.13973" TargetMode="External"/><Relationship Id="rId10" Type="http://schemas.openxmlformats.org/officeDocument/2006/relationships/header" Target="header2.xml"/><Relationship Id="rId31" Type="http://schemas.openxmlformats.org/officeDocument/2006/relationships/hyperlink" Target="http://www.ncbi.nlm.nih.gov/pubmed/20123206" TargetMode="External"/><Relationship Id="rId44" Type="http://schemas.openxmlformats.org/officeDocument/2006/relationships/hyperlink" Target="https://doi.org/10.1111/trf.13495" TargetMode="External"/><Relationship Id="rId52" Type="http://schemas.openxmlformats.org/officeDocument/2006/relationships/hyperlink" Target="http://dx.doi.org/10.1016/j.jss.2017.05.030" TargetMode="External"/><Relationship Id="rId60" Type="http://schemas.openxmlformats.org/officeDocument/2006/relationships/hyperlink" Target="http://anesthesiology.pubs.asahq.org/article.aspx?articleid=1918328" TargetMode="External"/><Relationship Id="rId65" Type="http://schemas.openxmlformats.org/officeDocument/2006/relationships/hyperlink" Target="https://www.sciencedirect.com/science/article/abs/pii/S1878875017306484?via%3Dihub"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onlinelibrary.wiley.com/doi/full/10.1111/j.1537-2995.2006.00891.x" TargetMode="External"/><Relationship Id="rId18" Type="http://schemas.openxmlformats.org/officeDocument/2006/relationships/hyperlink" Target="https://www.thelancet.com/journals/lancet/article/PIIS0140-6736(14)61685-8/fulltext" TargetMode="External"/><Relationship Id="rId39" Type="http://schemas.openxmlformats.org/officeDocument/2006/relationships/hyperlink" Target="about:blank" TargetMode="External"/><Relationship Id="rId34" Type="http://schemas.openxmlformats.org/officeDocument/2006/relationships/hyperlink" Target="http://www.ncbi.nlm.nih.gov/pubmed/22257164" TargetMode="External"/><Relationship Id="rId50" Type="http://schemas.openxmlformats.org/officeDocument/2006/relationships/hyperlink" Target="about:blank" TargetMode="External"/><Relationship Id="rId55" Type="http://schemas.openxmlformats.org/officeDocument/2006/relationships/hyperlink" Target="http://doi.org/10.1111/trf.13356" TargetMode="External"/><Relationship Id="rId7" Type="http://schemas.openxmlformats.org/officeDocument/2006/relationships/endnotes" Target="endnotes.xml"/><Relationship Id="rId71" Type="http://schemas.openxmlformats.org/officeDocument/2006/relationships/hyperlink" Target="https://onlinelibrary.wiley.com/doi/full/10.1111/trf.15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NFbMLY0yXveF1fJiPdVCpnF/w==">CgMxLjAyCGguZ2pkZ3hzMgppZC4zMGowemxsMgloLjFmb2I5dGUyCWguM3pueXNoNzgAciExRHlxdE1SOWExcDZ5U3RaUDFMVUM2NEtiSzRYUTdpaXE=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Lizama</dc:creator>
  <cp:lastModifiedBy>Brinson, Jennifer</cp:lastModifiedBy>
  <cp:revision>4</cp:revision>
  <dcterms:created xsi:type="dcterms:W3CDTF">2023-05-30T17:26:00Z</dcterms:created>
  <dcterms:modified xsi:type="dcterms:W3CDTF">2023-08-10T20:10:00Z</dcterms:modified>
</cp:coreProperties>
</file>