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40A2" w14:textId="77777777" w:rsidR="009D5CEF" w:rsidRPr="000A2B23" w:rsidRDefault="00000000" w:rsidP="000A2B23">
      <w:pPr>
        <w:pStyle w:val="Heading1"/>
        <w:rPr>
          <w:rFonts w:ascii="Arial" w:hAnsi="Arial" w:cs="Arial"/>
          <w:b/>
          <w:bCs/>
          <w:color w:val="4472C4" w:themeColor="accent1"/>
        </w:rPr>
      </w:pPr>
      <w:r w:rsidRPr="000A2B23">
        <w:rPr>
          <w:rFonts w:ascii="Arial" w:hAnsi="Arial" w:cs="Arial"/>
          <w:b/>
          <w:bCs/>
          <w:color w:val="4472C4" w:themeColor="accent1"/>
        </w:rPr>
        <w:t>Transfusion Guidelines</w:t>
      </w:r>
    </w:p>
    <w:p w14:paraId="6A056E53" w14:textId="77777777" w:rsidR="009D5CEF" w:rsidRPr="000A2B23" w:rsidRDefault="009D5CEF">
      <w:pPr>
        <w:rPr>
          <w:rFonts w:ascii="Arial" w:eastAsia="Calibri" w:hAnsi="Arial" w:cs="Arial"/>
        </w:rPr>
      </w:pPr>
    </w:p>
    <w:p w14:paraId="6D66606F" w14:textId="28CC5B4D" w:rsidR="009D5CEF" w:rsidRPr="000A2B23" w:rsidRDefault="00000000">
      <w:pPr>
        <w:rPr>
          <w:rFonts w:ascii="Arial" w:eastAsia="Calibri" w:hAnsi="Arial" w:cs="Arial"/>
          <w:bCs/>
        </w:rPr>
      </w:pPr>
      <w:r w:rsidRPr="000A2B23">
        <w:rPr>
          <w:rFonts w:ascii="Arial" w:eastAsia="Calibri" w:hAnsi="Arial" w:cs="Arial"/>
          <w:bCs/>
        </w:rPr>
        <w:t xml:space="preserve">The following guidelines represent evidence-based recommendations for transfusion in various clinical scenarios. </w:t>
      </w:r>
    </w:p>
    <w:p w14:paraId="0B8E6CF3" w14:textId="77777777" w:rsidR="009D5CEF" w:rsidRPr="000A2B23" w:rsidRDefault="009D5CEF">
      <w:pPr>
        <w:rPr>
          <w:rFonts w:ascii="Arial" w:eastAsia="Calibri" w:hAnsi="Arial" w:cs="Arial"/>
          <w:bCs/>
        </w:rPr>
      </w:pPr>
    </w:p>
    <w:p w14:paraId="71F66C08" w14:textId="42D7700A" w:rsidR="009D5CEF" w:rsidRPr="000A2B23" w:rsidRDefault="00000000">
      <w:pPr>
        <w:widowControl/>
        <w:spacing w:line="259" w:lineRule="auto"/>
        <w:rPr>
          <w:rFonts w:ascii="Arial" w:eastAsia="Calibri" w:hAnsi="Arial" w:cs="Arial"/>
          <w:bCs/>
        </w:rPr>
      </w:pPr>
      <w:r w:rsidRPr="000A2B23">
        <w:rPr>
          <w:rFonts w:ascii="Arial" w:eastAsia="Calibri" w:hAnsi="Arial" w:cs="Arial"/>
          <w:bCs/>
        </w:rPr>
        <w:t xml:space="preserve">In most situations, single unit transfusion is appropriate. Evaluate response to transfusion before ordering additional units.  </w:t>
      </w:r>
    </w:p>
    <w:p w14:paraId="159B733C" w14:textId="77777777" w:rsidR="009D5CEF" w:rsidRPr="000A2B23" w:rsidRDefault="009D5CEF">
      <w:pPr>
        <w:rPr>
          <w:rFonts w:ascii="Arial" w:eastAsia="Calibri" w:hAnsi="Arial" w:cs="Arial"/>
          <w:b/>
        </w:rPr>
      </w:pPr>
    </w:p>
    <w:p w14:paraId="07A06FE2" w14:textId="77777777" w:rsidR="009D5CEF" w:rsidRPr="000A2B23" w:rsidRDefault="009D5CEF">
      <w:pPr>
        <w:rPr>
          <w:rFonts w:ascii="Arial" w:eastAsia="Calibri" w:hAnsi="Arial" w:cs="Arial"/>
          <w:b/>
          <w:u w:val="single"/>
        </w:rPr>
      </w:pPr>
    </w:p>
    <w:p w14:paraId="30F0F596" w14:textId="77777777" w:rsidR="009D5CEF" w:rsidRPr="000A2B23" w:rsidRDefault="00000000">
      <w:pPr>
        <w:rPr>
          <w:rFonts w:ascii="Arial" w:eastAsia="Calibri" w:hAnsi="Arial" w:cs="Arial"/>
          <w:b/>
          <w:u w:val="single"/>
        </w:rPr>
      </w:pPr>
      <w:r w:rsidRPr="000A2B23">
        <w:rPr>
          <w:rFonts w:ascii="Arial" w:eastAsia="Calibri" w:hAnsi="Arial" w:cs="Arial"/>
          <w:b/>
          <w:u w:val="single"/>
        </w:rPr>
        <w:t>RED BLOOD CELL</w:t>
      </w:r>
    </w:p>
    <w:p w14:paraId="270A5615" w14:textId="77777777" w:rsidR="009D5CEF" w:rsidRPr="000A2B23" w:rsidRDefault="009D5CEF">
      <w:pPr>
        <w:rPr>
          <w:rFonts w:ascii="Arial" w:eastAsia="Calibri" w:hAnsi="Arial" w:cs="Arial"/>
          <w:b/>
        </w:rPr>
      </w:pPr>
    </w:p>
    <w:p w14:paraId="52952E42" w14:textId="77777777" w:rsidR="009D5CEF" w:rsidRPr="000A2B23" w:rsidRDefault="00000000">
      <w:pPr>
        <w:rPr>
          <w:rFonts w:ascii="Arial" w:eastAsia="Calibri" w:hAnsi="Arial" w:cs="Arial"/>
          <w:b/>
          <w:color w:val="FF0000"/>
        </w:rPr>
      </w:pPr>
      <w:r w:rsidRPr="000A2B23">
        <w:rPr>
          <w:rFonts w:ascii="Arial" w:eastAsia="Calibri" w:hAnsi="Arial" w:cs="Arial"/>
          <w:b/>
        </w:rPr>
        <w:t>Consider red blood cell transfusion for:</w:t>
      </w:r>
      <w:r w:rsidRPr="000A2B23">
        <w:rPr>
          <w:rFonts w:ascii="Arial" w:eastAsia="Calibri" w:hAnsi="Arial" w:cs="Arial"/>
          <w:b/>
          <w:color w:val="FF0000"/>
        </w:rPr>
        <w:t xml:space="preserve"> </w:t>
      </w:r>
    </w:p>
    <w:p w14:paraId="401C7085" w14:textId="77777777" w:rsidR="009D5CEF" w:rsidRPr="000A2B23" w:rsidRDefault="009D5CEF">
      <w:pPr>
        <w:rPr>
          <w:rFonts w:ascii="Arial" w:eastAsia="Calibri" w:hAnsi="Arial" w:cs="Arial"/>
          <w:b/>
          <w:color w:val="FF0000"/>
        </w:rPr>
      </w:pPr>
    </w:p>
    <w:p w14:paraId="1E15704A" w14:textId="77777777" w:rsidR="009D5CEF" w:rsidRPr="000A2B23" w:rsidRDefault="00000000">
      <w:pPr>
        <w:rPr>
          <w:rFonts w:ascii="Arial" w:eastAsia="Calibri" w:hAnsi="Arial" w:cs="Arial"/>
          <w:b/>
          <w:i/>
        </w:rPr>
      </w:pPr>
      <w:r w:rsidRPr="000A2B23">
        <w:rPr>
          <w:rFonts w:ascii="Arial" w:eastAsia="Calibri" w:hAnsi="Arial" w:cs="Arial"/>
          <w:b/>
          <w:i/>
        </w:rPr>
        <w:t>Hemoglobin less than 7 g/dL and:</w:t>
      </w:r>
    </w:p>
    <w:p w14:paraId="378195C8" w14:textId="77777777" w:rsidR="009D5CEF" w:rsidRPr="000A2B23" w:rsidRDefault="00000000">
      <w:pPr>
        <w:widowControl/>
        <w:numPr>
          <w:ilvl w:val="0"/>
          <w:numId w:val="5"/>
        </w:numPr>
        <w:pBdr>
          <w:top w:val="nil"/>
          <w:left w:val="nil"/>
          <w:bottom w:val="nil"/>
          <w:right w:val="nil"/>
          <w:between w:val="nil"/>
        </w:pBdr>
        <w:spacing w:line="259" w:lineRule="auto"/>
        <w:ind w:left="720"/>
        <w:rPr>
          <w:rFonts w:ascii="Arial" w:eastAsia="Calibri" w:hAnsi="Arial" w:cs="Arial"/>
          <w:color w:val="000000"/>
        </w:rPr>
      </w:pPr>
      <w:r w:rsidRPr="000A2B23">
        <w:rPr>
          <w:rFonts w:ascii="Arial" w:eastAsia="Calibri" w:hAnsi="Arial" w:cs="Arial"/>
          <w:color w:val="000000"/>
        </w:rPr>
        <w:t xml:space="preserve">Symptomatic anemia </w:t>
      </w:r>
      <w:r w:rsidRPr="000A2B23">
        <w:rPr>
          <w:rFonts w:ascii="Arial" w:eastAsia="Calibri" w:hAnsi="Arial" w:cs="Arial"/>
          <w:color w:val="000000"/>
          <w:vertAlign w:val="superscript"/>
        </w:rPr>
        <w:t>1-3</w:t>
      </w:r>
    </w:p>
    <w:p w14:paraId="015BFDC4" w14:textId="77777777" w:rsidR="009D5CEF" w:rsidRPr="000A2B23" w:rsidRDefault="00000000">
      <w:pPr>
        <w:widowControl/>
        <w:numPr>
          <w:ilvl w:val="0"/>
          <w:numId w:val="5"/>
        </w:numPr>
        <w:pBdr>
          <w:top w:val="nil"/>
          <w:left w:val="nil"/>
          <w:bottom w:val="nil"/>
          <w:right w:val="nil"/>
          <w:between w:val="nil"/>
        </w:pBdr>
        <w:spacing w:line="259" w:lineRule="auto"/>
        <w:ind w:left="720"/>
        <w:rPr>
          <w:rFonts w:ascii="Arial" w:eastAsia="Calibri" w:hAnsi="Arial" w:cs="Arial"/>
          <w:color w:val="000000"/>
        </w:rPr>
      </w:pPr>
      <w:r w:rsidRPr="000A2B23">
        <w:rPr>
          <w:rFonts w:ascii="Arial" w:eastAsia="Calibri" w:hAnsi="Arial" w:cs="Arial"/>
          <w:color w:val="000000"/>
        </w:rPr>
        <w:t xml:space="preserve">STABLE ischemic heart disease and signs or symptoms of anemia unresponsive to management without transfusion </w:t>
      </w:r>
      <w:r w:rsidRPr="000A2B23">
        <w:rPr>
          <w:rFonts w:ascii="Arial" w:eastAsia="Calibri" w:hAnsi="Arial" w:cs="Arial"/>
          <w:color w:val="000000"/>
          <w:vertAlign w:val="superscript"/>
        </w:rPr>
        <w:t>4-6</w:t>
      </w:r>
      <w:r w:rsidRPr="000A2B23">
        <w:rPr>
          <w:rFonts w:ascii="Arial" w:eastAsia="Calibri" w:hAnsi="Arial" w:cs="Arial"/>
          <w:color w:val="000000"/>
        </w:rPr>
        <w:t xml:space="preserve"> </w:t>
      </w:r>
    </w:p>
    <w:p w14:paraId="4122EF17" w14:textId="77777777" w:rsidR="009D5CEF" w:rsidRPr="000A2B23" w:rsidRDefault="00000000">
      <w:pPr>
        <w:widowControl/>
        <w:numPr>
          <w:ilvl w:val="0"/>
          <w:numId w:val="5"/>
        </w:numPr>
        <w:pBdr>
          <w:top w:val="nil"/>
          <w:left w:val="nil"/>
          <w:bottom w:val="nil"/>
          <w:right w:val="nil"/>
          <w:between w:val="nil"/>
        </w:pBdr>
        <w:spacing w:line="259" w:lineRule="auto"/>
        <w:ind w:left="720"/>
        <w:rPr>
          <w:rFonts w:ascii="Arial" w:eastAsia="Calibri" w:hAnsi="Arial" w:cs="Arial"/>
          <w:color w:val="000000"/>
        </w:rPr>
      </w:pPr>
      <w:r w:rsidRPr="000A2B23">
        <w:rPr>
          <w:rFonts w:ascii="Arial" w:eastAsia="Calibri" w:hAnsi="Arial" w:cs="Arial"/>
          <w:color w:val="000000"/>
        </w:rPr>
        <w:t xml:space="preserve">Acute upper gastrointestinal hemorrhage </w:t>
      </w:r>
      <w:r w:rsidRPr="000A2B23">
        <w:rPr>
          <w:rFonts w:ascii="Arial" w:eastAsia="Calibri" w:hAnsi="Arial" w:cs="Arial"/>
          <w:color w:val="000000"/>
          <w:vertAlign w:val="superscript"/>
        </w:rPr>
        <w:t>7</w:t>
      </w:r>
    </w:p>
    <w:p w14:paraId="743B299C" w14:textId="77777777" w:rsidR="009D5CEF" w:rsidRPr="000A2B23" w:rsidRDefault="00000000">
      <w:pPr>
        <w:widowControl/>
        <w:numPr>
          <w:ilvl w:val="0"/>
          <w:numId w:val="5"/>
        </w:numPr>
        <w:pBdr>
          <w:top w:val="nil"/>
          <w:left w:val="nil"/>
          <w:bottom w:val="nil"/>
          <w:right w:val="nil"/>
          <w:between w:val="nil"/>
        </w:pBdr>
        <w:spacing w:line="259" w:lineRule="auto"/>
        <w:ind w:left="720"/>
        <w:rPr>
          <w:rFonts w:ascii="Arial" w:eastAsia="Calibri" w:hAnsi="Arial" w:cs="Arial"/>
          <w:color w:val="000000"/>
        </w:rPr>
      </w:pPr>
      <w:r w:rsidRPr="000A2B23">
        <w:rPr>
          <w:rFonts w:ascii="Arial" w:eastAsia="Calibri" w:hAnsi="Arial" w:cs="Arial"/>
          <w:color w:val="000000"/>
        </w:rPr>
        <w:t>Sepsis</w:t>
      </w:r>
      <w:r w:rsidRPr="000A2B23">
        <w:rPr>
          <w:rFonts w:ascii="Arial" w:eastAsia="Calibri" w:hAnsi="Arial" w:cs="Arial"/>
          <w:color w:val="000000"/>
          <w:vertAlign w:val="superscript"/>
        </w:rPr>
        <w:t>5</w:t>
      </w:r>
    </w:p>
    <w:p w14:paraId="1CB82C53" w14:textId="77777777" w:rsidR="009D5CEF" w:rsidRPr="000A2B23" w:rsidRDefault="00000000">
      <w:pPr>
        <w:widowControl/>
        <w:numPr>
          <w:ilvl w:val="0"/>
          <w:numId w:val="5"/>
        </w:numPr>
        <w:pBdr>
          <w:top w:val="nil"/>
          <w:left w:val="nil"/>
          <w:bottom w:val="nil"/>
          <w:right w:val="nil"/>
          <w:between w:val="nil"/>
        </w:pBdr>
        <w:spacing w:after="160" w:line="259" w:lineRule="auto"/>
        <w:ind w:left="720"/>
        <w:rPr>
          <w:rFonts w:ascii="Arial" w:eastAsia="Calibri" w:hAnsi="Arial" w:cs="Arial"/>
          <w:color w:val="000000"/>
        </w:rPr>
      </w:pPr>
      <w:bookmarkStart w:id="0" w:name="_heading=h.gjdgxs" w:colFirst="0" w:colLast="0"/>
      <w:bookmarkEnd w:id="0"/>
      <w:r w:rsidRPr="000A2B23">
        <w:rPr>
          <w:rFonts w:ascii="Arial" w:eastAsia="Calibri" w:hAnsi="Arial" w:cs="Arial"/>
          <w:color w:val="000000"/>
        </w:rPr>
        <w:t xml:space="preserve">Bone marrow suppression due to chemotherapy and/or radiotherapy </w:t>
      </w:r>
      <w:r w:rsidRPr="000A2B23">
        <w:rPr>
          <w:rFonts w:ascii="Arial" w:eastAsia="Calibri" w:hAnsi="Arial" w:cs="Arial"/>
          <w:color w:val="000000"/>
          <w:vertAlign w:val="superscript"/>
        </w:rPr>
        <w:t>8-14</w:t>
      </w:r>
    </w:p>
    <w:p w14:paraId="6089404C" w14:textId="77777777" w:rsidR="009D5CEF" w:rsidRPr="000A2B23" w:rsidRDefault="009D5CEF">
      <w:pPr>
        <w:ind w:left="360"/>
        <w:rPr>
          <w:rFonts w:ascii="Arial" w:eastAsia="Calibri" w:hAnsi="Arial" w:cs="Arial"/>
          <w:b/>
          <w:i/>
        </w:rPr>
      </w:pPr>
    </w:p>
    <w:p w14:paraId="0C747CC7" w14:textId="77777777" w:rsidR="009D5CEF" w:rsidRPr="000A2B23" w:rsidRDefault="00000000">
      <w:pPr>
        <w:rPr>
          <w:rFonts w:ascii="Arial" w:eastAsia="Calibri" w:hAnsi="Arial" w:cs="Arial"/>
          <w:b/>
          <w:i/>
        </w:rPr>
      </w:pPr>
      <w:r w:rsidRPr="000A2B23">
        <w:rPr>
          <w:rFonts w:ascii="Arial" w:eastAsia="Calibri" w:hAnsi="Arial" w:cs="Arial"/>
          <w:b/>
          <w:i/>
        </w:rPr>
        <w:t>Hemoglobin less than 8 g/dL and:</w:t>
      </w:r>
    </w:p>
    <w:p w14:paraId="6BE3979C" w14:textId="77777777" w:rsidR="009D5CEF" w:rsidRPr="000A2B23" w:rsidRDefault="00000000">
      <w:pPr>
        <w:widowControl/>
        <w:numPr>
          <w:ilvl w:val="0"/>
          <w:numId w:val="6"/>
        </w:numPr>
        <w:pBdr>
          <w:top w:val="nil"/>
          <w:left w:val="nil"/>
          <w:bottom w:val="nil"/>
          <w:right w:val="nil"/>
          <w:between w:val="nil"/>
        </w:pBdr>
        <w:spacing w:line="259" w:lineRule="auto"/>
        <w:rPr>
          <w:rFonts w:ascii="Arial" w:eastAsia="Calibri" w:hAnsi="Arial" w:cs="Arial"/>
          <w:color w:val="000000"/>
        </w:rPr>
      </w:pPr>
      <w:r w:rsidRPr="000A2B23">
        <w:rPr>
          <w:rFonts w:ascii="Arial" w:eastAsia="Calibri" w:hAnsi="Arial" w:cs="Arial"/>
          <w:color w:val="000000"/>
        </w:rPr>
        <w:t xml:space="preserve">Acute coronary syndrome </w:t>
      </w:r>
      <w:r w:rsidRPr="000A2B23">
        <w:rPr>
          <w:rFonts w:ascii="Arial" w:eastAsia="Calibri" w:hAnsi="Arial" w:cs="Arial"/>
          <w:color w:val="000000"/>
          <w:vertAlign w:val="superscript"/>
        </w:rPr>
        <w:t>3,15,16</w:t>
      </w:r>
      <w:r w:rsidRPr="000A2B23">
        <w:rPr>
          <w:rFonts w:ascii="Arial" w:eastAsia="Calibri" w:hAnsi="Arial" w:cs="Arial"/>
          <w:color w:val="000000"/>
        </w:rPr>
        <w:t xml:space="preserve"> </w:t>
      </w:r>
    </w:p>
    <w:p w14:paraId="153C3A27" w14:textId="77777777" w:rsidR="009D5CEF" w:rsidRPr="000A2B23" w:rsidRDefault="00000000">
      <w:pPr>
        <w:widowControl/>
        <w:numPr>
          <w:ilvl w:val="0"/>
          <w:numId w:val="6"/>
        </w:numPr>
        <w:pBdr>
          <w:top w:val="nil"/>
          <w:left w:val="nil"/>
          <w:bottom w:val="nil"/>
          <w:right w:val="nil"/>
          <w:between w:val="nil"/>
        </w:pBdr>
        <w:spacing w:after="160" w:line="259" w:lineRule="auto"/>
        <w:rPr>
          <w:rFonts w:ascii="Arial" w:eastAsia="Calibri" w:hAnsi="Arial" w:cs="Arial"/>
          <w:color w:val="000000"/>
        </w:rPr>
      </w:pPr>
      <w:bookmarkStart w:id="1" w:name="_heading=h.30j0zll" w:colFirst="0" w:colLast="0"/>
      <w:bookmarkEnd w:id="1"/>
      <w:r w:rsidRPr="000A2B23">
        <w:rPr>
          <w:rFonts w:ascii="Arial" w:eastAsia="Calibri" w:hAnsi="Arial" w:cs="Arial"/>
          <w:color w:val="000000"/>
        </w:rPr>
        <w:t xml:space="preserve">Bone marrow suppression or failure </w:t>
      </w:r>
      <w:r w:rsidRPr="000A2B23">
        <w:rPr>
          <w:rFonts w:ascii="Arial" w:eastAsia="Calibri" w:hAnsi="Arial" w:cs="Arial"/>
          <w:b/>
          <w:color w:val="000000"/>
          <w:u w:val="single"/>
        </w:rPr>
        <w:t>and</w:t>
      </w:r>
      <w:r w:rsidRPr="000A2B23">
        <w:rPr>
          <w:rFonts w:ascii="Arial" w:eastAsia="Calibri" w:hAnsi="Arial" w:cs="Arial"/>
          <w:b/>
          <w:color w:val="000000"/>
        </w:rPr>
        <w:t xml:space="preserve"> </w:t>
      </w:r>
      <w:r w:rsidRPr="000A2B23">
        <w:rPr>
          <w:rFonts w:ascii="Arial" w:eastAsia="Calibri" w:hAnsi="Arial" w:cs="Arial"/>
          <w:color w:val="000000"/>
        </w:rPr>
        <w:t xml:space="preserve">long-term transfusion dependency </w:t>
      </w:r>
      <w:r w:rsidRPr="000A2B23">
        <w:rPr>
          <w:rFonts w:ascii="Arial" w:eastAsia="Calibri" w:hAnsi="Arial" w:cs="Arial"/>
          <w:color w:val="000000"/>
          <w:vertAlign w:val="superscript"/>
        </w:rPr>
        <w:t>12-14,17,18</w:t>
      </w:r>
      <w:r w:rsidRPr="000A2B23">
        <w:rPr>
          <w:rFonts w:ascii="Arial" w:eastAsia="Calibri" w:hAnsi="Arial" w:cs="Arial"/>
          <w:color w:val="000000"/>
        </w:rPr>
        <w:t xml:space="preserve"> </w:t>
      </w:r>
    </w:p>
    <w:p w14:paraId="428FB506" w14:textId="77777777" w:rsidR="009D5CEF" w:rsidRPr="000A2B23" w:rsidRDefault="009D5CEF">
      <w:pPr>
        <w:ind w:left="360"/>
        <w:rPr>
          <w:rFonts w:ascii="Arial" w:eastAsia="Calibri" w:hAnsi="Arial" w:cs="Arial"/>
          <w:b/>
          <w:i/>
        </w:rPr>
      </w:pPr>
    </w:p>
    <w:p w14:paraId="1E206C44" w14:textId="77777777" w:rsidR="009D5CEF" w:rsidRPr="000A2B23" w:rsidRDefault="00000000">
      <w:pPr>
        <w:rPr>
          <w:rFonts w:ascii="Arial" w:eastAsia="Calibri" w:hAnsi="Arial" w:cs="Arial"/>
          <w:b/>
          <w:i/>
        </w:rPr>
      </w:pPr>
      <w:r w:rsidRPr="000A2B23">
        <w:rPr>
          <w:rFonts w:ascii="Arial" w:eastAsia="Calibri" w:hAnsi="Arial" w:cs="Arial"/>
          <w:b/>
          <w:i/>
        </w:rPr>
        <w:t>Hemoglobin less than 9 g/dL:</w:t>
      </w:r>
    </w:p>
    <w:p w14:paraId="5CE6324F" w14:textId="77777777" w:rsidR="009D5CEF" w:rsidRPr="000A2B23" w:rsidRDefault="00000000">
      <w:pPr>
        <w:widowControl/>
        <w:numPr>
          <w:ilvl w:val="0"/>
          <w:numId w:val="3"/>
        </w:numPr>
        <w:pBdr>
          <w:top w:val="nil"/>
          <w:left w:val="nil"/>
          <w:bottom w:val="nil"/>
          <w:right w:val="nil"/>
          <w:between w:val="nil"/>
        </w:pBdr>
        <w:spacing w:after="160" w:line="259" w:lineRule="auto"/>
        <w:ind w:left="720"/>
        <w:rPr>
          <w:rFonts w:ascii="Arial" w:eastAsia="Calibri" w:hAnsi="Arial" w:cs="Arial"/>
          <w:color w:val="000000"/>
        </w:rPr>
      </w:pPr>
      <w:r w:rsidRPr="000A2B23">
        <w:rPr>
          <w:rFonts w:ascii="Arial" w:eastAsia="Calibri" w:hAnsi="Arial" w:cs="Arial"/>
          <w:color w:val="000000"/>
        </w:rPr>
        <w:t xml:space="preserve">In a sickle cell anemia patient undergoing surgery to bring the hemoglobin to 10 g/dL </w:t>
      </w:r>
      <w:r w:rsidRPr="000A2B23">
        <w:rPr>
          <w:rFonts w:ascii="Arial" w:eastAsia="Calibri" w:hAnsi="Arial" w:cs="Arial"/>
          <w:color w:val="000000"/>
          <w:vertAlign w:val="superscript"/>
        </w:rPr>
        <w:t>19,20</w:t>
      </w:r>
      <w:r w:rsidRPr="000A2B23">
        <w:rPr>
          <w:rFonts w:ascii="Arial" w:eastAsia="Calibri" w:hAnsi="Arial" w:cs="Arial"/>
          <w:color w:val="000000"/>
        </w:rPr>
        <w:t xml:space="preserve"> </w:t>
      </w:r>
    </w:p>
    <w:p w14:paraId="0624F717" w14:textId="77777777" w:rsidR="009D5CEF" w:rsidRPr="000A2B23" w:rsidRDefault="009D5CEF">
      <w:pPr>
        <w:widowControl/>
        <w:spacing w:line="259" w:lineRule="auto"/>
        <w:rPr>
          <w:rFonts w:ascii="Arial" w:eastAsia="Calibri" w:hAnsi="Arial" w:cs="Arial"/>
        </w:rPr>
      </w:pPr>
    </w:p>
    <w:p w14:paraId="5327E088" w14:textId="77777777" w:rsidR="009D5CEF" w:rsidRPr="000A2B23" w:rsidRDefault="009D5CEF">
      <w:pPr>
        <w:tabs>
          <w:tab w:val="left" w:pos="3840"/>
        </w:tabs>
        <w:rPr>
          <w:rFonts w:ascii="Arial" w:eastAsia="Calibri" w:hAnsi="Arial" w:cs="Arial"/>
        </w:rPr>
      </w:pPr>
    </w:p>
    <w:p w14:paraId="3BDD9D92" w14:textId="77777777" w:rsidR="009D5CEF" w:rsidRPr="000A2B23" w:rsidRDefault="009D5CEF">
      <w:pPr>
        <w:tabs>
          <w:tab w:val="left" w:pos="3840"/>
        </w:tabs>
        <w:rPr>
          <w:rFonts w:ascii="Arial" w:eastAsia="Calibri" w:hAnsi="Arial" w:cs="Arial"/>
        </w:rPr>
      </w:pPr>
    </w:p>
    <w:p w14:paraId="3FF2AD8D" w14:textId="77777777" w:rsidR="009D5CEF" w:rsidRPr="000A2B23" w:rsidRDefault="00000000">
      <w:pPr>
        <w:widowControl/>
        <w:spacing w:after="160" w:line="259" w:lineRule="auto"/>
        <w:rPr>
          <w:rFonts w:ascii="Arial" w:eastAsia="Calibri" w:hAnsi="Arial" w:cs="Arial"/>
          <w:b/>
          <w:u w:val="single"/>
        </w:rPr>
      </w:pPr>
      <w:r w:rsidRPr="000A2B23">
        <w:rPr>
          <w:rFonts w:ascii="Arial" w:hAnsi="Arial" w:cs="Arial"/>
        </w:rPr>
        <w:br w:type="page"/>
      </w:r>
    </w:p>
    <w:p w14:paraId="5BF8C6F3" w14:textId="77777777" w:rsidR="009D5CEF" w:rsidRPr="000A2B23" w:rsidRDefault="00000000">
      <w:pPr>
        <w:pStyle w:val="Heading2"/>
        <w:rPr>
          <w:rFonts w:ascii="Arial" w:hAnsi="Arial" w:cs="Arial"/>
          <w:color w:val="000000"/>
        </w:rPr>
      </w:pPr>
      <w:r w:rsidRPr="000A2B23">
        <w:rPr>
          <w:rFonts w:ascii="Arial" w:hAnsi="Arial" w:cs="Arial"/>
          <w:color w:val="000000"/>
        </w:rPr>
        <w:lastRenderedPageBreak/>
        <w:t>PLATELET</w:t>
      </w:r>
    </w:p>
    <w:p w14:paraId="71F5321D" w14:textId="77777777" w:rsidR="009D5CEF" w:rsidRPr="000A2B23" w:rsidRDefault="009D5CEF">
      <w:pPr>
        <w:tabs>
          <w:tab w:val="left" w:pos="3840"/>
        </w:tabs>
        <w:rPr>
          <w:rFonts w:ascii="Arial" w:eastAsia="Calibri" w:hAnsi="Arial" w:cs="Arial"/>
        </w:rPr>
      </w:pPr>
    </w:p>
    <w:p w14:paraId="66907A91" w14:textId="77777777" w:rsidR="009D5CEF" w:rsidRPr="000A2B23" w:rsidRDefault="00000000">
      <w:pPr>
        <w:rPr>
          <w:rFonts w:ascii="Arial" w:eastAsia="Calibri" w:hAnsi="Arial" w:cs="Arial"/>
          <w:b/>
        </w:rPr>
      </w:pPr>
      <w:r w:rsidRPr="000A2B23">
        <w:rPr>
          <w:rFonts w:ascii="Arial" w:eastAsia="Calibri" w:hAnsi="Arial" w:cs="Arial"/>
          <w:b/>
        </w:rPr>
        <w:t>Consider platelet transfusion for:</w:t>
      </w:r>
    </w:p>
    <w:p w14:paraId="4FBB0C94" w14:textId="77777777" w:rsidR="009D5CEF" w:rsidRPr="000A2B23" w:rsidRDefault="009D5CEF">
      <w:pPr>
        <w:rPr>
          <w:rFonts w:ascii="Arial" w:eastAsia="Calibri" w:hAnsi="Arial" w:cs="Arial"/>
          <w:b/>
          <w:i/>
        </w:rPr>
      </w:pPr>
    </w:p>
    <w:p w14:paraId="55DE65ED" w14:textId="77777777" w:rsidR="009D5CEF" w:rsidRPr="000A2B23" w:rsidRDefault="00000000">
      <w:pPr>
        <w:rPr>
          <w:rFonts w:ascii="Arial" w:eastAsia="Calibri" w:hAnsi="Arial" w:cs="Arial"/>
          <w:b/>
          <w:i/>
          <w:vertAlign w:val="superscript"/>
        </w:rPr>
      </w:pPr>
      <w:r w:rsidRPr="000A2B23">
        <w:rPr>
          <w:rFonts w:ascii="Arial" w:eastAsia="Calibri" w:hAnsi="Arial" w:cs="Arial"/>
          <w:b/>
          <w:i/>
        </w:rPr>
        <w:t xml:space="preserve">PROPHYLACTIC use with a platelet count: </w:t>
      </w:r>
      <w:r w:rsidRPr="000A2B23">
        <w:rPr>
          <w:rFonts w:ascii="Arial" w:eastAsia="Calibri" w:hAnsi="Arial" w:cs="Arial"/>
          <w:vertAlign w:val="superscript"/>
        </w:rPr>
        <w:t>21-27</w:t>
      </w:r>
      <w:r w:rsidRPr="000A2B23">
        <w:rPr>
          <w:rFonts w:ascii="Arial" w:eastAsia="Calibri" w:hAnsi="Arial" w:cs="Arial"/>
          <w:b/>
          <w:i/>
        </w:rPr>
        <w:t xml:space="preserve">        </w:t>
      </w:r>
    </w:p>
    <w:p w14:paraId="4FF91EF8" w14:textId="77777777" w:rsidR="009D5CEF" w:rsidRPr="000A2B23" w:rsidRDefault="00000000">
      <w:pPr>
        <w:widowControl/>
        <w:numPr>
          <w:ilvl w:val="0"/>
          <w:numId w:val="1"/>
        </w:numPr>
        <w:pBdr>
          <w:top w:val="nil"/>
          <w:left w:val="nil"/>
          <w:bottom w:val="nil"/>
          <w:right w:val="nil"/>
          <w:between w:val="nil"/>
        </w:pBdr>
        <w:spacing w:line="259" w:lineRule="auto"/>
        <w:rPr>
          <w:rFonts w:ascii="Arial" w:eastAsia="Calibri" w:hAnsi="Arial" w:cs="Arial"/>
          <w:color w:val="000000"/>
        </w:rPr>
      </w:pPr>
      <w:r w:rsidRPr="000A2B23">
        <w:rPr>
          <w:rFonts w:ascii="Arial" w:eastAsia="Calibri" w:hAnsi="Arial" w:cs="Arial"/>
          <w:color w:val="000000"/>
        </w:rPr>
        <w:t xml:space="preserve">Less than </w:t>
      </w:r>
      <w:r w:rsidRPr="000A2B23">
        <w:rPr>
          <w:rFonts w:ascii="Arial" w:eastAsia="Calibri" w:hAnsi="Arial" w:cs="Arial"/>
          <w:b/>
          <w:color w:val="000000"/>
        </w:rPr>
        <w:t>10,000/mm</w:t>
      </w:r>
      <w:r w:rsidRPr="000A2B23">
        <w:rPr>
          <w:rFonts w:ascii="Arial" w:eastAsia="Calibri" w:hAnsi="Arial" w:cs="Arial"/>
          <w:b/>
          <w:color w:val="000000"/>
          <w:vertAlign w:val="superscript"/>
        </w:rPr>
        <w:t>3</w:t>
      </w:r>
      <w:r w:rsidRPr="000A2B23">
        <w:rPr>
          <w:rFonts w:ascii="Arial" w:eastAsia="Calibri" w:hAnsi="Arial" w:cs="Arial"/>
          <w:color w:val="000000"/>
        </w:rPr>
        <w:t xml:space="preserve"> in a stable patient with hypoproliferative thrombocytopenia (marrow failure or suppression)</w:t>
      </w:r>
    </w:p>
    <w:p w14:paraId="23260330" w14:textId="77777777" w:rsidR="009D5CEF" w:rsidRPr="000A2B23" w:rsidRDefault="00000000">
      <w:pPr>
        <w:widowControl/>
        <w:numPr>
          <w:ilvl w:val="0"/>
          <w:numId w:val="1"/>
        </w:numPr>
        <w:pBdr>
          <w:top w:val="nil"/>
          <w:left w:val="nil"/>
          <w:bottom w:val="nil"/>
          <w:right w:val="nil"/>
          <w:between w:val="nil"/>
        </w:pBdr>
        <w:spacing w:after="160" w:line="259" w:lineRule="auto"/>
        <w:rPr>
          <w:rFonts w:ascii="Arial" w:eastAsia="Calibri" w:hAnsi="Arial" w:cs="Arial"/>
          <w:color w:val="000000"/>
        </w:rPr>
      </w:pPr>
      <w:r w:rsidRPr="000A2B23">
        <w:rPr>
          <w:rFonts w:ascii="Arial" w:eastAsia="Calibri" w:hAnsi="Arial" w:cs="Arial"/>
          <w:color w:val="000000"/>
        </w:rPr>
        <w:t xml:space="preserve">Less than </w:t>
      </w:r>
      <w:r w:rsidRPr="000A2B23">
        <w:rPr>
          <w:rFonts w:ascii="Arial" w:eastAsia="Calibri" w:hAnsi="Arial" w:cs="Arial"/>
          <w:b/>
          <w:color w:val="000000"/>
        </w:rPr>
        <w:t>20,000/mm</w:t>
      </w:r>
      <w:r w:rsidRPr="000A2B23">
        <w:rPr>
          <w:rFonts w:ascii="Arial" w:eastAsia="Calibri" w:hAnsi="Arial" w:cs="Arial"/>
          <w:b/>
          <w:color w:val="000000"/>
          <w:vertAlign w:val="superscript"/>
        </w:rPr>
        <w:t>3</w:t>
      </w:r>
      <w:r w:rsidRPr="000A2B23">
        <w:rPr>
          <w:rFonts w:ascii="Arial" w:eastAsia="Calibri" w:hAnsi="Arial" w:cs="Arial"/>
          <w:color w:val="000000"/>
        </w:rPr>
        <w:t xml:space="preserve"> in a stable patient with hypoproliferative thrombocytopenia (marrow failure or suppression)</w:t>
      </w:r>
      <w:r w:rsidRPr="000A2B23">
        <w:rPr>
          <w:rFonts w:ascii="Arial" w:eastAsia="Calibri" w:hAnsi="Arial" w:cs="Arial"/>
          <w:b/>
          <w:color w:val="000000"/>
        </w:rPr>
        <w:t xml:space="preserve"> </w:t>
      </w:r>
      <w:r w:rsidRPr="000A2B23">
        <w:rPr>
          <w:rFonts w:ascii="Arial" w:eastAsia="Calibri" w:hAnsi="Arial" w:cs="Arial"/>
          <w:b/>
          <w:color w:val="000000"/>
          <w:u w:val="single"/>
        </w:rPr>
        <w:t>and</w:t>
      </w:r>
      <w:r w:rsidRPr="000A2B23">
        <w:rPr>
          <w:rFonts w:ascii="Arial" w:eastAsia="Calibri" w:hAnsi="Arial" w:cs="Arial"/>
          <w:color w:val="000000"/>
        </w:rPr>
        <w:t xml:space="preserve"> presence of minor bleeding (WHO Grade 2 or higher) </w:t>
      </w:r>
      <w:r w:rsidRPr="000A2B23">
        <w:rPr>
          <w:rFonts w:ascii="Arial" w:eastAsia="Calibri" w:hAnsi="Arial" w:cs="Arial"/>
          <w:color w:val="000000"/>
          <w:vertAlign w:val="superscript"/>
        </w:rPr>
        <w:t>28</w:t>
      </w:r>
      <w:r w:rsidRPr="000A2B23">
        <w:rPr>
          <w:rFonts w:ascii="Arial" w:eastAsia="Calibri" w:hAnsi="Arial" w:cs="Arial"/>
          <w:color w:val="000000"/>
        </w:rPr>
        <w:t xml:space="preserve"> </w:t>
      </w:r>
    </w:p>
    <w:p w14:paraId="0454FBEB" w14:textId="77777777" w:rsidR="009D5CEF" w:rsidRPr="000A2B23" w:rsidRDefault="009D5CEF">
      <w:pPr>
        <w:rPr>
          <w:rFonts w:ascii="Arial" w:eastAsia="Calibri" w:hAnsi="Arial" w:cs="Arial"/>
          <w:b/>
          <w:i/>
        </w:rPr>
      </w:pPr>
    </w:p>
    <w:p w14:paraId="4B5111AE" w14:textId="77777777" w:rsidR="009D5CEF" w:rsidRPr="000A2B23" w:rsidRDefault="00000000">
      <w:pPr>
        <w:rPr>
          <w:rFonts w:ascii="Arial" w:eastAsia="Calibri" w:hAnsi="Arial" w:cs="Arial"/>
          <w:b/>
          <w:i/>
        </w:rPr>
      </w:pPr>
      <w:r w:rsidRPr="000A2B23">
        <w:rPr>
          <w:rFonts w:ascii="Arial" w:eastAsia="Calibri" w:hAnsi="Arial" w:cs="Arial"/>
          <w:b/>
          <w:i/>
        </w:rPr>
        <w:t>PERI-PROCEDURAL use for:</w:t>
      </w:r>
    </w:p>
    <w:p w14:paraId="0020199B" w14:textId="77777777" w:rsidR="009D5CEF" w:rsidRPr="000A2B23" w:rsidRDefault="00000000">
      <w:pPr>
        <w:widowControl/>
        <w:numPr>
          <w:ilvl w:val="0"/>
          <w:numId w:val="2"/>
        </w:numPr>
        <w:pBdr>
          <w:top w:val="nil"/>
          <w:left w:val="nil"/>
          <w:bottom w:val="nil"/>
          <w:right w:val="nil"/>
          <w:between w:val="nil"/>
        </w:pBdr>
        <w:spacing w:line="259" w:lineRule="auto"/>
        <w:rPr>
          <w:rFonts w:ascii="Arial" w:eastAsia="Calibri" w:hAnsi="Arial" w:cs="Arial"/>
          <w:b/>
          <w:i/>
          <w:color w:val="000000"/>
        </w:rPr>
      </w:pPr>
      <w:r w:rsidRPr="000A2B23">
        <w:rPr>
          <w:rFonts w:ascii="Arial" w:eastAsia="Calibri" w:hAnsi="Arial" w:cs="Arial"/>
          <w:b/>
          <w:color w:val="000000"/>
        </w:rPr>
        <w:t>Bone marrow biopsy:</w:t>
      </w:r>
      <w:r w:rsidRPr="000A2B23">
        <w:rPr>
          <w:rFonts w:ascii="Arial" w:eastAsia="Calibri" w:hAnsi="Arial" w:cs="Arial"/>
          <w:color w:val="000000"/>
        </w:rPr>
        <w:t xml:space="preserve"> may be performed regardless of platelet count </w:t>
      </w:r>
      <w:r w:rsidRPr="000A2B23">
        <w:rPr>
          <w:rFonts w:ascii="Arial" w:eastAsia="Calibri" w:hAnsi="Arial" w:cs="Arial"/>
          <w:color w:val="000000"/>
          <w:vertAlign w:val="superscript"/>
        </w:rPr>
        <w:t>29</w:t>
      </w:r>
    </w:p>
    <w:p w14:paraId="6A82F72B" w14:textId="77777777" w:rsidR="009D5CEF" w:rsidRPr="000A2B23" w:rsidRDefault="00000000">
      <w:pPr>
        <w:widowControl/>
        <w:numPr>
          <w:ilvl w:val="0"/>
          <w:numId w:val="2"/>
        </w:numPr>
        <w:pBdr>
          <w:top w:val="nil"/>
          <w:left w:val="nil"/>
          <w:bottom w:val="nil"/>
          <w:right w:val="nil"/>
          <w:between w:val="nil"/>
        </w:pBdr>
        <w:spacing w:line="259" w:lineRule="auto"/>
        <w:rPr>
          <w:rFonts w:ascii="Arial" w:eastAsia="Calibri" w:hAnsi="Arial" w:cs="Arial"/>
          <w:b/>
          <w:i/>
          <w:color w:val="000000"/>
        </w:rPr>
      </w:pPr>
      <w:r w:rsidRPr="000A2B23">
        <w:rPr>
          <w:rFonts w:ascii="Arial" w:eastAsia="Calibri" w:hAnsi="Arial" w:cs="Arial"/>
          <w:b/>
          <w:color w:val="000000"/>
        </w:rPr>
        <w:t>Central line placement</w:t>
      </w:r>
      <w:r w:rsidRPr="000A2B23">
        <w:rPr>
          <w:rFonts w:ascii="Arial" w:eastAsia="Calibri" w:hAnsi="Arial" w:cs="Arial"/>
          <w:color w:val="000000"/>
        </w:rPr>
        <w:t>: platelet count less than</w:t>
      </w:r>
      <w:r w:rsidRPr="000A2B23">
        <w:rPr>
          <w:rFonts w:ascii="Arial" w:eastAsia="Calibri" w:hAnsi="Arial" w:cs="Arial"/>
          <w:b/>
          <w:color w:val="000000"/>
        </w:rPr>
        <w:t xml:space="preserve"> 20,000/ mm</w:t>
      </w:r>
      <w:r w:rsidRPr="000A2B23">
        <w:rPr>
          <w:rFonts w:ascii="Arial" w:eastAsia="Calibri" w:hAnsi="Arial" w:cs="Arial"/>
          <w:b/>
          <w:color w:val="000000"/>
          <w:vertAlign w:val="superscript"/>
        </w:rPr>
        <w:t>3</w:t>
      </w:r>
      <w:r w:rsidRPr="000A2B23">
        <w:rPr>
          <w:rFonts w:ascii="Arial" w:eastAsia="Calibri" w:hAnsi="Arial" w:cs="Arial"/>
          <w:b/>
          <w:color w:val="000000"/>
        </w:rPr>
        <w:t xml:space="preserve"> </w:t>
      </w:r>
      <w:r w:rsidRPr="000A2B23">
        <w:rPr>
          <w:rFonts w:ascii="Arial" w:eastAsia="Calibri" w:hAnsi="Arial" w:cs="Arial"/>
          <w:b/>
          <w:color w:val="000000"/>
          <w:vertAlign w:val="superscript"/>
        </w:rPr>
        <w:t>30</w:t>
      </w:r>
    </w:p>
    <w:p w14:paraId="3D511EBD" w14:textId="77777777" w:rsidR="009D5CEF" w:rsidRPr="000A2B23" w:rsidRDefault="00000000">
      <w:pPr>
        <w:widowControl/>
        <w:numPr>
          <w:ilvl w:val="0"/>
          <w:numId w:val="2"/>
        </w:numPr>
        <w:pBdr>
          <w:top w:val="nil"/>
          <w:left w:val="nil"/>
          <w:bottom w:val="nil"/>
          <w:right w:val="nil"/>
          <w:between w:val="nil"/>
        </w:pBdr>
        <w:spacing w:line="259" w:lineRule="auto"/>
        <w:rPr>
          <w:rFonts w:ascii="Arial" w:eastAsia="Calibri" w:hAnsi="Arial" w:cs="Arial"/>
          <w:b/>
          <w:i/>
          <w:color w:val="000000"/>
        </w:rPr>
      </w:pPr>
      <w:r w:rsidRPr="000A2B23">
        <w:rPr>
          <w:rFonts w:ascii="Arial" w:eastAsia="Calibri" w:hAnsi="Arial" w:cs="Arial"/>
          <w:b/>
          <w:color w:val="000000"/>
        </w:rPr>
        <w:t xml:space="preserve">Endoscopy or bronchoscopy </w:t>
      </w:r>
      <w:r w:rsidRPr="000A2B23">
        <w:rPr>
          <w:rFonts w:ascii="Arial" w:eastAsia="Calibri" w:hAnsi="Arial" w:cs="Arial"/>
          <w:b/>
          <w:i/>
          <w:color w:val="000000"/>
        </w:rPr>
        <w:t>without</w:t>
      </w:r>
      <w:r w:rsidRPr="000A2B23">
        <w:rPr>
          <w:rFonts w:ascii="Arial" w:eastAsia="Calibri" w:hAnsi="Arial" w:cs="Arial"/>
          <w:b/>
          <w:color w:val="000000"/>
        </w:rPr>
        <w:t xml:space="preserve"> biopsy</w:t>
      </w:r>
      <w:r w:rsidRPr="000A2B23">
        <w:rPr>
          <w:rFonts w:ascii="Arial" w:eastAsia="Calibri" w:hAnsi="Arial" w:cs="Arial"/>
          <w:color w:val="000000"/>
        </w:rPr>
        <w:t xml:space="preserve">: platelet count less than </w:t>
      </w:r>
      <w:r w:rsidRPr="000A2B23">
        <w:rPr>
          <w:rFonts w:ascii="Arial" w:eastAsia="Calibri" w:hAnsi="Arial" w:cs="Arial"/>
          <w:b/>
          <w:color w:val="000000"/>
        </w:rPr>
        <w:t>25,000/ mm</w:t>
      </w:r>
      <w:r w:rsidRPr="000A2B23">
        <w:rPr>
          <w:rFonts w:ascii="Arial" w:eastAsia="Calibri" w:hAnsi="Arial" w:cs="Arial"/>
          <w:b/>
          <w:color w:val="000000"/>
          <w:vertAlign w:val="superscript"/>
        </w:rPr>
        <w:t>3</w:t>
      </w:r>
      <w:r w:rsidRPr="000A2B23">
        <w:rPr>
          <w:rFonts w:ascii="Arial" w:eastAsia="Calibri" w:hAnsi="Arial" w:cs="Arial"/>
          <w:color w:val="000000"/>
          <w:vertAlign w:val="superscript"/>
        </w:rPr>
        <w:t xml:space="preserve"> 31</w:t>
      </w:r>
    </w:p>
    <w:p w14:paraId="6C151305" w14:textId="77777777" w:rsidR="009D5CEF" w:rsidRPr="000A2B23" w:rsidRDefault="00000000">
      <w:pPr>
        <w:widowControl/>
        <w:numPr>
          <w:ilvl w:val="0"/>
          <w:numId w:val="2"/>
        </w:numPr>
        <w:pBdr>
          <w:top w:val="nil"/>
          <w:left w:val="nil"/>
          <w:bottom w:val="nil"/>
          <w:right w:val="nil"/>
          <w:between w:val="nil"/>
        </w:pBdr>
        <w:spacing w:line="259" w:lineRule="auto"/>
        <w:rPr>
          <w:rFonts w:ascii="Arial" w:eastAsia="Calibri" w:hAnsi="Arial" w:cs="Arial"/>
          <w:color w:val="000000"/>
        </w:rPr>
      </w:pPr>
      <w:r w:rsidRPr="000A2B23">
        <w:rPr>
          <w:rFonts w:ascii="Arial" w:eastAsia="Calibri" w:hAnsi="Arial" w:cs="Arial"/>
          <w:b/>
          <w:color w:val="000000"/>
        </w:rPr>
        <w:t>Paracentesis or thoracentesis</w:t>
      </w:r>
      <w:r w:rsidRPr="000A2B23">
        <w:rPr>
          <w:rFonts w:ascii="Arial" w:eastAsia="Calibri" w:hAnsi="Arial" w:cs="Arial"/>
          <w:color w:val="000000"/>
        </w:rPr>
        <w:t xml:space="preserve">: platelet count less than </w:t>
      </w:r>
      <w:r w:rsidRPr="000A2B23">
        <w:rPr>
          <w:rFonts w:ascii="Arial" w:eastAsia="Calibri" w:hAnsi="Arial" w:cs="Arial"/>
          <w:b/>
          <w:color w:val="000000"/>
        </w:rPr>
        <w:t>25,000/ 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 xml:space="preserve">32 </w:t>
      </w:r>
      <w:r w:rsidRPr="000A2B23">
        <w:rPr>
          <w:rFonts w:ascii="Arial" w:eastAsia="Calibri" w:hAnsi="Arial" w:cs="Arial"/>
          <w:color w:val="000000"/>
        </w:rPr>
        <w:t xml:space="preserve">     </w:t>
      </w:r>
    </w:p>
    <w:p w14:paraId="7F87A943" w14:textId="77777777" w:rsidR="009D5CEF" w:rsidRPr="000A2B23" w:rsidRDefault="00000000">
      <w:pPr>
        <w:widowControl/>
        <w:numPr>
          <w:ilvl w:val="0"/>
          <w:numId w:val="2"/>
        </w:numPr>
        <w:pBdr>
          <w:top w:val="nil"/>
          <w:left w:val="nil"/>
          <w:bottom w:val="nil"/>
          <w:right w:val="nil"/>
          <w:between w:val="nil"/>
        </w:pBdr>
        <w:spacing w:line="259" w:lineRule="auto"/>
        <w:rPr>
          <w:rFonts w:ascii="Arial" w:eastAsia="Calibri" w:hAnsi="Arial" w:cs="Arial"/>
          <w:color w:val="000000"/>
        </w:rPr>
      </w:pPr>
      <w:r w:rsidRPr="000A2B23">
        <w:rPr>
          <w:rFonts w:ascii="Arial" w:eastAsia="Calibri" w:hAnsi="Arial" w:cs="Arial"/>
          <w:b/>
          <w:color w:val="000000"/>
        </w:rPr>
        <w:t>Vaginal delivery</w:t>
      </w:r>
      <w:r w:rsidRPr="000A2B23">
        <w:rPr>
          <w:rFonts w:ascii="Arial" w:eastAsia="Calibri" w:hAnsi="Arial" w:cs="Arial"/>
          <w:color w:val="000000"/>
        </w:rPr>
        <w:t xml:space="preserve">: platelet count less than </w:t>
      </w:r>
      <w:r w:rsidRPr="000A2B23">
        <w:rPr>
          <w:rFonts w:ascii="Arial" w:eastAsia="Calibri" w:hAnsi="Arial" w:cs="Arial"/>
          <w:b/>
          <w:color w:val="000000"/>
        </w:rPr>
        <w:t>30,000/mm</w:t>
      </w:r>
      <w:r w:rsidRPr="000A2B23">
        <w:rPr>
          <w:rFonts w:ascii="Arial" w:eastAsia="Calibri" w:hAnsi="Arial" w:cs="Arial"/>
          <w:b/>
          <w:color w:val="000000"/>
          <w:vertAlign w:val="superscript"/>
        </w:rPr>
        <w:t xml:space="preserve">3 </w:t>
      </w:r>
      <w:r w:rsidRPr="000A2B23">
        <w:rPr>
          <w:rFonts w:ascii="Arial" w:eastAsia="Calibri" w:hAnsi="Arial" w:cs="Arial"/>
          <w:color w:val="000000"/>
          <w:vertAlign w:val="superscript"/>
        </w:rPr>
        <w:t>33</w:t>
      </w:r>
      <w:r w:rsidRPr="000A2B23">
        <w:rPr>
          <w:rFonts w:ascii="Arial" w:eastAsia="Calibri" w:hAnsi="Arial" w:cs="Arial"/>
          <w:i/>
          <w:color w:val="000000"/>
        </w:rPr>
        <w:t xml:space="preserve"> </w:t>
      </w:r>
      <w:r w:rsidRPr="000A2B23">
        <w:rPr>
          <w:rFonts w:ascii="Arial" w:eastAsia="Calibri" w:hAnsi="Arial" w:cs="Arial"/>
          <w:color w:val="000000"/>
        </w:rPr>
        <w:t xml:space="preserve">  </w:t>
      </w:r>
    </w:p>
    <w:p w14:paraId="127578B0" w14:textId="77777777" w:rsidR="009D5CEF" w:rsidRPr="000A2B23" w:rsidRDefault="00000000">
      <w:pPr>
        <w:widowControl/>
        <w:numPr>
          <w:ilvl w:val="0"/>
          <w:numId w:val="2"/>
        </w:numPr>
        <w:pBdr>
          <w:top w:val="nil"/>
          <w:left w:val="nil"/>
          <w:bottom w:val="nil"/>
          <w:right w:val="nil"/>
          <w:between w:val="nil"/>
        </w:pBdr>
        <w:spacing w:line="259" w:lineRule="auto"/>
        <w:rPr>
          <w:rFonts w:ascii="Arial" w:eastAsia="Calibri" w:hAnsi="Arial" w:cs="Arial"/>
          <w:color w:val="000000"/>
        </w:rPr>
      </w:pPr>
      <w:bookmarkStart w:id="2" w:name="_heading=h.1fob9te" w:colFirst="0" w:colLast="0"/>
      <w:bookmarkEnd w:id="2"/>
      <w:r w:rsidRPr="000A2B23">
        <w:rPr>
          <w:rFonts w:ascii="Arial" w:eastAsia="Calibri" w:hAnsi="Arial" w:cs="Arial"/>
          <w:b/>
          <w:color w:val="000000"/>
        </w:rPr>
        <w:t>Lumbar puncture (diagnostic)</w:t>
      </w:r>
      <w:r w:rsidRPr="000A2B23">
        <w:rPr>
          <w:rFonts w:ascii="Arial" w:eastAsia="Calibri" w:hAnsi="Arial" w:cs="Arial"/>
          <w:color w:val="000000"/>
        </w:rPr>
        <w:t xml:space="preserve">: platelet count less than </w:t>
      </w:r>
      <w:r w:rsidRPr="000A2B23">
        <w:rPr>
          <w:rFonts w:ascii="Arial" w:eastAsia="Calibri" w:hAnsi="Arial" w:cs="Arial"/>
          <w:b/>
          <w:color w:val="000000"/>
        </w:rPr>
        <w:t>40,000/ 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29,34</w:t>
      </w:r>
    </w:p>
    <w:p w14:paraId="3FA3A977" w14:textId="77777777" w:rsidR="009D5CEF" w:rsidRPr="000A2B23" w:rsidRDefault="00000000">
      <w:pPr>
        <w:widowControl/>
        <w:numPr>
          <w:ilvl w:val="0"/>
          <w:numId w:val="2"/>
        </w:numPr>
        <w:pBdr>
          <w:top w:val="nil"/>
          <w:left w:val="nil"/>
          <w:bottom w:val="nil"/>
          <w:right w:val="nil"/>
          <w:between w:val="nil"/>
        </w:pBdr>
        <w:spacing w:line="259" w:lineRule="auto"/>
        <w:rPr>
          <w:rFonts w:ascii="Arial" w:eastAsia="Calibri" w:hAnsi="Arial" w:cs="Arial"/>
          <w:color w:val="000000"/>
        </w:rPr>
      </w:pPr>
      <w:r w:rsidRPr="000A2B23">
        <w:rPr>
          <w:rFonts w:ascii="Arial" w:eastAsia="Calibri" w:hAnsi="Arial" w:cs="Arial"/>
          <w:b/>
          <w:color w:val="000000"/>
        </w:rPr>
        <w:t>Percutaneous or endoscopic organ biopsy (e.g. liver, kidney), nephrostomy, arteriotomy, dental extraction</w:t>
      </w:r>
      <w:r w:rsidRPr="000A2B23">
        <w:rPr>
          <w:rFonts w:ascii="Arial" w:eastAsia="Calibri" w:hAnsi="Arial" w:cs="Arial"/>
          <w:color w:val="000000"/>
        </w:rPr>
        <w:t xml:space="preserve">: Platelet count less than </w:t>
      </w:r>
      <w:r w:rsidRPr="000A2B23">
        <w:rPr>
          <w:rFonts w:ascii="Arial" w:eastAsia="Calibri" w:hAnsi="Arial" w:cs="Arial"/>
          <w:b/>
          <w:color w:val="000000"/>
        </w:rPr>
        <w:t>40,000/ 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 xml:space="preserve">29,32 </w:t>
      </w:r>
    </w:p>
    <w:p w14:paraId="04A9168C" w14:textId="77777777" w:rsidR="009D5CEF" w:rsidRPr="000A2B23" w:rsidRDefault="00000000">
      <w:pPr>
        <w:widowControl/>
        <w:numPr>
          <w:ilvl w:val="0"/>
          <w:numId w:val="2"/>
        </w:numPr>
        <w:pBdr>
          <w:top w:val="nil"/>
          <w:left w:val="nil"/>
          <w:bottom w:val="nil"/>
          <w:right w:val="nil"/>
          <w:between w:val="nil"/>
        </w:pBdr>
        <w:spacing w:line="259" w:lineRule="auto"/>
        <w:rPr>
          <w:rFonts w:ascii="Arial" w:eastAsia="Calibri" w:hAnsi="Arial" w:cs="Arial"/>
          <w:color w:val="000000"/>
        </w:rPr>
      </w:pPr>
      <w:r w:rsidRPr="000A2B23">
        <w:rPr>
          <w:rFonts w:ascii="Arial" w:eastAsia="Calibri" w:hAnsi="Arial" w:cs="Arial"/>
          <w:b/>
          <w:color w:val="000000"/>
        </w:rPr>
        <w:t>General surgery and Gynecological surgery (including C-sections)</w:t>
      </w:r>
      <w:r w:rsidRPr="000A2B23">
        <w:rPr>
          <w:rFonts w:ascii="Arial" w:eastAsia="Calibri" w:hAnsi="Arial" w:cs="Arial"/>
          <w:color w:val="000000"/>
        </w:rPr>
        <w:t xml:space="preserve">: platelet count less than </w:t>
      </w:r>
      <w:r w:rsidRPr="000A2B23">
        <w:rPr>
          <w:rFonts w:ascii="Arial" w:eastAsia="Calibri" w:hAnsi="Arial" w:cs="Arial"/>
          <w:b/>
          <w:color w:val="000000"/>
        </w:rPr>
        <w:t>50,000/mm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21,35</w:t>
      </w:r>
      <w:r w:rsidRPr="000A2B23">
        <w:rPr>
          <w:rFonts w:ascii="Arial" w:eastAsia="Calibri" w:hAnsi="Arial" w:cs="Arial"/>
          <w:color w:val="000000"/>
        </w:rPr>
        <w:t xml:space="preserve">  </w:t>
      </w:r>
    </w:p>
    <w:p w14:paraId="65D2A3F1" w14:textId="77777777" w:rsidR="009D5CEF" w:rsidRPr="000A2B23" w:rsidRDefault="00000000">
      <w:pPr>
        <w:widowControl/>
        <w:numPr>
          <w:ilvl w:val="0"/>
          <w:numId w:val="2"/>
        </w:numPr>
        <w:pBdr>
          <w:top w:val="nil"/>
          <w:left w:val="nil"/>
          <w:bottom w:val="nil"/>
          <w:right w:val="nil"/>
          <w:between w:val="nil"/>
        </w:pBdr>
        <w:spacing w:line="259" w:lineRule="auto"/>
        <w:rPr>
          <w:rFonts w:ascii="Arial" w:eastAsia="Calibri" w:hAnsi="Arial" w:cs="Arial"/>
          <w:color w:val="000000"/>
        </w:rPr>
      </w:pPr>
      <w:r w:rsidRPr="000A2B23">
        <w:rPr>
          <w:rFonts w:ascii="Arial" w:eastAsia="Calibri" w:hAnsi="Arial" w:cs="Arial"/>
          <w:b/>
          <w:color w:val="000000"/>
        </w:rPr>
        <w:t>Epidural catheter insertion or removal</w:t>
      </w:r>
      <w:r w:rsidRPr="000A2B23">
        <w:rPr>
          <w:rFonts w:ascii="Arial" w:eastAsia="Calibri" w:hAnsi="Arial" w:cs="Arial"/>
          <w:color w:val="000000"/>
        </w:rPr>
        <w:t xml:space="preserve">: platelet count less than </w:t>
      </w:r>
      <w:r w:rsidRPr="000A2B23">
        <w:rPr>
          <w:rFonts w:ascii="Arial" w:eastAsia="Calibri" w:hAnsi="Arial" w:cs="Arial"/>
          <w:b/>
          <w:color w:val="000000"/>
        </w:rPr>
        <w:t>80,000/ 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 xml:space="preserve">29,34,36  </w:t>
      </w:r>
    </w:p>
    <w:p w14:paraId="5CE83F66" w14:textId="77777777" w:rsidR="009D5CEF" w:rsidRPr="000A2B23" w:rsidRDefault="00000000">
      <w:pPr>
        <w:widowControl/>
        <w:numPr>
          <w:ilvl w:val="0"/>
          <w:numId w:val="2"/>
        </w:numPr>
        <w:pBdr>
          <w:top w:val="nil"/>
          <w:left w:val="nil"/>
          <w:bottom w:val="nil"/>
          <w:right w:val="nil"/>
          <w:between w:val="nil"/>
        </w:pBdr>
        <w:spacing w:line="259" w:lineRule="auto"/>
        <w:rPr>
          <w:rFonts w:ascii="Arial" w:eastAsia="Calibri" w:hAnsi="Arial" w:cs="Arial"/>
          <w:color w:val="000000"/>
        </w:rPr>
      </w:pPr>
      <w:r w:rsidRPr="000A2B23">
        <w:rPr>
          <w:rFonts w:ascii="Arial" w:eastAsia="Calibri" w:hAnsi="Arial" w:cs="Arial"/>
          <w:b/>
          <w:color w:val="000000"/>
        </w:rPr>
        <w:t>Neurosurgery or retinal surgery</w:t>
      </w:r>
      <w:r w:rsidRPr="000A2B23">
        <w:rPr>
          <w:rFonts w:ascii="Arial" w:eastAsia="Calibri" w:hAnsi="Arial" w:cs="Arial"/>
          <w:color w:val="000000"/>
        </w:rPr>
        <w:t xml:space="preserve">: platelet count less than </w:t>
      </w:r>
      <w:r w:rsidRPr="000A2B23">
        <w:rPr>
          <w:rFonts w:ascii="Arial" w:eastAsia="Calibri" w:hAnsi="Arial" w:cs="Arial"/>
          <w:b/>
          <w:color w:val="000000"/>
        </w:rPr>
        <w:t>100,000/ 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31,35,37-40</w:t>
      </w:r>
    </w:p>
    <w:p w14:paraId="54D506A4" w14:textId="77777777" w:rsidR="009D5CEF" w:rsidRPr="000A2B23" w:rsidRDefault="00000000">
      <w:pPr>
        <w:widowControl/>
        <w:numPr>
          <w:ilvl w:val="0"/>
          <w:numId w:val="2"/>
        </w:numPr>
        <w:pBdr>
          <w:top w:val="nil"/>
          <w:left w:val="nil"/>
          <w:bottom w:val="nil"/>
          <w:right w:val="nil"/>
          <w:between w:val="nil"/>
        </w:pBdr>
        <w:spacing w:after="160" w:line="259" w:lineRule="auto"/>
        <w:rPr>
          <w:rFonts w:ascii="Arial" w:eastAsia="Calibri" w:hAnsi="Arial" w:cs="Arial"/>
          <w:b/>
          <w:i/>
          <w:color w:val="000000"/>
        </w:rPr>
      </w:pPr>
      <w:r w:rsidRPr="000A2B23">
        <w:rPr>
          <w:rFonts w:ascii="Arial" w:eastAsia="Calibri" w:hAnsi="Arial" w:cs="Arial"/>
          <w:b/>
          <w:color w:val="000000"/>
        </w:rPr>
        <w:t xml:space="preserve">Proven significant congenital or acquired platelet functional defect except uremic platelet dysfunction that may be adequately treated with DDAVP </w:t>
      </w:r>
      <w:r w:rsidRPr="000A2B23">
        <w:rPr>
          <w:rFonts w:ascii="Arial" w:eastAsia="Calibri" w:hAnsi="Arial" w:cs="Arial"/>
          <w:color w:val="000000"/>
          <w:vertAlign w:val="superscript"/>
        </w:rPr>
        <w:t>40,41</w:t>
      </w:r>
    </w:p>
    <w:p w14:paraId="0B6CB293" w14:textId="77777777" w:rsidR="009D5CEF" w:rsidRPr="000A2B23" w:rsidRDefault="009D5CEF">
      <w:pPr>
        <w:widowControl/>
        <w:spacing w:line="259" w:lineRule="auto"/>
        <w:ind w:left="360"/>
        <w:rPr>
          <w:rFonts w:ascii="Arial" w:eastAsia="Calibri" w:hAnsi="Arial" w:cs="Arial"/>
          <w:b/>
          <w:i/>
        </w:rPr>
      </w:pPr>
    </w:p>
    <w:p w14:paraId="640B6194" w14:textId="77777777" w:rsidR="009D5CEF" w:rsidRPr="000A2B23" w:rsidRDefault="00000000">
      <w:pPr>
        <w:widowControl/>
        <w:spacing w:line="259" w:lineRule="auto"/>
        <w:rPr>
          <w:rFonts w:ascii="Arial" w:eastAsia="Calibri" w:hAnsi="Arial" w:cs="Arial"/>
          <w:b/>
          <w:i/>
        </w:rPr>
      </w:pPr>
      <w:r w:rsidRPr="000A2B23">
        <w:rPr>
          <w:rFonts w:ascii="Arial" w:eastAsia="Calibri" w:hAnsi="Arial" w:cs="Arial"/>
          <w:b/>
          <w:i/>
        </w:rPr>
        <w:t>THERAPEUTIC use for:</w:t>
      </w:r>
    </w:p>
    <w:p w14:paraId="23AB631A" w14:textId="77777777" w:rsidR="009D5CEF" w:rsidRPr="000A2B23" w:rsidRDefault="00000000">
      <w:pPr>
        <w:widowControl/>
        <w:numPr>
          <w:ilvl w:val="0"/>
          <w:numId w:val="4"/>
        </w:numPr>
        <w:pBdr>
          <w:top w:val="nil"/>
          <w:left w:val="nil"/>
          <w:bottom w:val="nil"/>
          <w:right w:val="nil"/>
          <w:between w:val="nil"/>
        </w:pBdr>
        <w:spacing w:line="259" w:lineRule="auto"/>
        <w:ind w:left="720"/>
        <w:rPr>
          <w:rFonts w:ascii="Arial" w:eastAsia="Calibri" w:hAnsi="Arial" w:cs="Arial"/>
          <w:color w:val="000000"/>
        </w:rPr>
      </w:pPr>
      <w:bookmarkStart w:id="3" w:name="_heading=h.3znysh7" w:colFirst="0" w:colLast="0"/>
      <w:bookmarkEnd w:id="3"/>
      <w:r w:rsidRPr="000A2B23">
        <w:rPr>
          <w:rFonts w:ascii="Arial" w:eastAsia="Calibri" w:hAnsi="Arial" w:cs="Arial"/>
          <w:b/>
          <w:color w:val="000000"/>
        </w:rPr>
        <w:t>Post-surgical or post-procedural bleeding</w:t>
      </w:r>
      <w:r w:rsidRPr="000A2B23">
        <w:rPr>
          <w:rFonts w:ascii="Arial" w:eastAsia="Calibri" w:hAnsi="Arial" w:cs="Arial"/>
          <w:color w:val="000000"/>
        </w:rPr>
        <w:t xml:space="preserve">: platelet count less than </w:t>
      </w:r>
      <w:r w:rsidRPr="000A2B23">
        <w:rPr>
          <w:rFonts w:ascii="Arial" w:eastAsia="Calibri" w:hAnsi="Arial" w:cs="Arial"/>
          <w:b/>
          <w:color w:val="000000"/>
        </w:rPr>
        <w:t>50,000/mm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29,42</w:t>
      </w:r>
    </w:p>
    <w:p w14:paraId="0105AB59" w14:textId="77777777" w:rsidR="009D5CEF" w:rsidRPr="000A2B23" w:rsidRDefault="00000000">
      <w:pPr>
        <w:widowControl/>
        <w:numPr>
          <w:ilvl w:val="0"/>
          <w:numId w:val="4"/>
        </w:numPr>
        <w:pBdr>
          <w:top w:val="nil"/>
          <w:left w:val="nil"/>
          <w:bottom w:val="nil"/>
          <w:right w:val="nil"/>
          <w:between w:val="nil"/>
        </w:pBdr>
        <w:spacing w:line="259" w:lineRule="auto"/>
        <w:ind w:left="720"/>
        <w:rPr>
          <w:rFonts w:ascii="Arial" w:eastAsia="Calibri" w:hAnsi="Arial" w:cs="Arial"/>
          <w:color w:val="000000"/>
        </w:rPr>
      </w:pPr>
      <w:r w:rsidRPr="000A2B23">
        <w:rPr>
          <w:rFonts w:ascii="Arial" w:eastAsia="Calibri" w:hAnsi="Arial" w:cs="Arial"/>
          <w:b/>
          <w:color w:val="000000"/>
        </w:rPr>
        <w:t>Significant non-procedure related bleeding</w:t>
      </w:r>
      <w:r w:rsidRPr="000A2B23">
        <w:rPr>
          <w:rFonts w:ascii="Arial" w:eastAsia="Calibri" w:hAnsi="Arial" w:cs="Arial"/>
          <w:color w:val="000000"/>
        </w:rPr>
        <w:t xml:space="preserve">: platelet count less than </w:t>
      </w:r>
      <w:r w:rsidRPr="000A2B23">
        <w:rPr>
          <w:rFonts w:ascii="Arial" w:eastAsia="Calibri" w:hAnsi="Arial" w:cs="Arial"/>
          <w:b/>
          <w:color w:val="000000"/>
        </w:rPr>
        <w:t>50,000/mm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29,42</w:t>
      </w:r>
    </w:p>
    <w:p w14:paraId="518B3312" w14:textId="77777777" w:rsidR="009D5CEF" w:rsidRPr="000A2B23" w:rsidRDefault="00000000">
      <w:pPr>
        <w:widowControl/>
        <w:numPr>
          <w:ilvl w:val="0"/>
          <w:numId w:val="4"/>
        </w:numPr>
        <w:pBdr>
          <w:top w:val="nil"/>
          <w:left w:val="nil"/>
          <w:bottom w:val="nil"/>
          <w:right w:val="nil"/>
          <w:between w:val="nil"/>
        </w:pBdr>
        <w:spacing w:line="259" w:lineRule="auto"/>
        <w:ind w:left="720"/>
        <w:rPr>
          <w:rFonts w:ascii="Arial" w:eastAsia="Calibri" w:hAnsi="Arial" w:cs="Arial"/>
          <w:color w:val="000000"/>
        </w:rPr>
      </w:pPr>
      <w:bookmarkStart w:id="4" w:name="_heading=h.2et92p0" w:colFirst="0" w:colLast="0"/>
      <w:bookmarkEnd w:id="4"/>
      <w:r w:rsidRPr="000A2B23">
        <w:rPr>
          <w:rFonts w:ascii="Arial" w:eastAsia="Calibri" w:hAnsi="Arial" w:cs="Arial"/>
          <w:b/>
          <w:color w:val="000000"/>
        </w:rPr>
        <w:t>Cardiac surgery with unexpected bleeding</w:t>
      </w:r>
      <w:r w:rsidRPr="000A2B23">
        <w:rPr>
          <w:rFonts w:ascii="Arial" w:eastAsia="Calibri" w:hAnsi="Arial" w:cs="Arial"/>
          <w:color w:val="000000"/>
        </w:rPr>
        <w:t xml:space="preserve">: platelet count less than </w:t>
      </w:r>
      <w:r w:rsidRPr="000A2B23">
        <w:rPr>
          <w:rFonts w:ascii="Arial" w:eastAsia="Calibri" w:hAnsi="Arial" w:cs="Arial"/>
          <w:b/>
          <w:color w:val="000000"/>
        </w:rPr>
        <w:t>80,000/mm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29,43,44</w:t>
      </w:r>
      <w:r w:rsidRPr="000A2B23">
        <w:rPr>
          <w:rFonts w:ascii="Arial" w:eastAsia="Calibri" w:hAnsi="Arial" w:cs="Arial"/>
          <w:color w:val="000000"/>
        </w:rPr>
        <w:t xml:space="preserve">   </w:t>
      </w:r>
    </w:p>
    <w:p w14:paraId="64332D27" w14:textId="77777777" w:rsidR="009D5CEF" w:rsidRPr="000A2B23" w:rsidRDefault="00000000">
      <w:pPr>
        <w:widowControl/>
        <w:numPr>
          <w:ilvl w:val="0"/>
          <w:numId w:val="4"/>
        </w:numPr>
        <w:pBdr>
          <w:top w:val="nil"/>
          <w:left w:val="nil"/>
          <w:bottom w:val="nil"/>
          <w:right w:val="nil"/>
          <w:between w:val="nil"/>
        </w:pBdr>
        <w:spacing w:line="259" w:lineRule="auto"/>
        <w:ind w:left="720"/>
        <w:rPr>
          <w:rFonts w:ascii="Arial" w:eastAsia="Calibri" w:hAnsi="Arial" w:cs="Arial"/>
          <w:color w:val="000000"/>
        </w:rPr>
      </w:pPr>
      <w:r w:rsidRPr="000A2B23">
        <w:rPr>
          <w:rFonts w:ascii="Arial" w:eastAsia="Calibri" w:hAnsi="Arial" w:cs="Arial"/>
          <w:b/>
          <w:color w:val="000000"/>
        </w:rPr>
        <w:t>Massive hemorrhage protocol or massive transfusion protocol</w:t>
      </w:r>
      <w:r w:rsidRPr="000A2B23">
        <w:rPr>
          <w:rFonts w:ascii="Arial" w:eastAsia="Calibri" w:hAnsi="Arial" w:cs="Arial"/>
          <w:color w:val="000000"/>
        </w:rPr>
        <w:t xml:space="preserve">: by protocol if actively bleeding or platelet count less than </w:t>
      </w:r>
      <w:r w:rsidRPr="000A2B23">
        <w:rPr>
          <w:rFonts w:ascii="Arial" w:eastAsia="Calibri" w:hAnsi="Arial" w:cs="Arial"/>
          <w:b/>
          <w:color w:val="000000"/>
        </w:rPr>
        <w:t>80,000/mm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42</w:t>
      </w:r>
      <w:r w:rsidRPr="000A2B23">
        <w:rPr>
          <w:rFonts w:ascii="Arial" w:eastAsia="Calibri" w:hAnsi="Arial" w:cs="Arial"/>
          <w:color w:val="000000"/>
        </w:rPr>
        <w:t xml:space="preserve">  </w:t>
      </w:r>
    </w:p>
    <w:p w14:paraId="1A5820E4" w14:textId="77777777" w:rsidR="009D5CEF" w:rsidRPr="000A2B23" w:rsidRDefault="00000000">
      <w:pPr>
        <w:widowControl/>
        <w:numPr>
          <w:ilvl w:val="0"/>
          <w:numId w:val="4"/>
        </w:numPr>
        <w:pBdr>
          <w:top w:val="nil"/>
          <w:left w:val="nil"/>
          <w:bottom w:val="nil"/>
          <w:right w:val="nil"/>
          <w:between w:val="nil"/>
        </w:pBdr>
        <w:spacing w:line="259" w:lineRule="auto"/>
        <w:ind w:left="720"/>
        <w:rPr>
          <w:rFonts w:ascii="Arial" w:eastAsia="Calibri" w:hAnsi="Arial" w:cs="Arial"/>
          <w:color w:val="000000"/>
        </w:rPr>
      </w:pPr>
      <w:bookmarkStart w:id="5" w:name="_heading=h.tyjcwt" w:colFirst="0" w:colLast="0"/>
      <w:bookmarkEnd w:id="5"/>
      <w:r w:rsidRPr="000A2B23">
        <w:rPr>
          <w:rFonts w:ascii="Arial" w:eastAsia="Calibri" w:hAnsi="Arial" w:cs="Arial"/>
          <w:b/>
          <w:color w:val="000000"/>
        </w:rPr>
        <w:t>Neuroaxial bleeding</w:t>
      </w:r>
      <w:r w:rsidRPr="000A2B23">
        <w:rPr>
          <w:rFonts w:ascii="Arial" w:eastAsia="Calibri" w:hAnsi="Arial" w:cs="Arial"/>
          <w:color w:val="000000"/>
        </w:rPr>
        <w:t xml:space="preserve">: platelet count less than </w:t>
      </w:r>
      <w:r w:rsidRPr="000A2B23">
        <w:rPr>
          <w:rFonts w:ascii="Arial" w:eastAsia="Calibri" w:hAnsi="Arial" w:cs="Arial"/>
          <w:b/>
          <w:color w:val="000000"/>
        </w:rPr>
        <w:t>100,000/mm</w:t>
      </w:r>
      <w:r w:rsidRPr="000A2B23">
        <w:rPr>
          <w:rFonts w:ascii="Arial" w:eastAsia="Calibri" w:hAnsi="Arial" w:cs="Arial"/>
          <w:b/>
          <w:color w:val="000000"/>
          <w:vertAlign w:val="superscript"/>
        </w:rPr>
        <w:t>3</w:t>
      </w:r>
      <w:r w:rsidRPr="000A2B23">
        <w:rPr>
          <w:rFonts w:ascii="Arial" w:eastAsia="Calibri" w:hAnsi="Arial" w:cs="Arial"/>
          <w:color w:val="000000"/>
        </w:rPr>
        <w:t xml:space="preserve"> </w:t>
      </w:r>
      <w:r w:rsidRPr="000A2B23">
        <w:rPr>
          <w:rFonts w:ascii="Arial" w:eastAsia="Calibri" w:hAnsi="Arial" w:cs="Arial"/>
          <w:color w:val="000000"/>
          <w:vertAlign w:val="superscript"/>
        </w:rPr>
        <w:t>31,35,37-40,45,46</w:t>
      </w:r>
    </w:p>
    <w:p w14:paraId="41F277A3" w14:textId="77777777" w:rsidR="009D5CEF" w:rsidRPr="000A2B23" w:rsidRDefault="00000000">
      <w:pPr>
        <w:widowControl/>
        <w:numPr>
          <w:ilvl w:val="0"/>
          <w:numId w:val="4"/>
        </w:numPr>
        <w:pBdr>
          <w:top w:val="nil"/>
          <w:left w:val="nil"/>
          <w:bottom w:val="nil"/>
          <w:right w:val="nil"/>
          <w:between w:val="nil"/>
        </w:pBdr>
        <w:shd w:val="clear" w:color="auto" w:fill="FFFFFF"/>
        <w:spacing w:after="280" w:line="259" w:lineRule="auto"/>
        <w:ind w:left="720"/>
        <w:rPr>
          <w:rFonts w:ascii="Arial" w:eastAsia="Arial" w:hAnsi="Arial" w:cs="Arial"/>
          <w:color w:val="0070C0"/>
          <w:sz w:val="20"/>
          <w:szCs w:val="20"/>
          <w:u w:val="single"/>
        </w:rPr>
      </w:pPr>
      <w:r w:rsidRPr="000A2B23">
        <w:rPr>
          <w:rFonts w:ascii="Arial" w:eastAsia="Calibri" w:hAnsi="Arial" w:cs="Arial"/>
          <w:b/>
          <w:color w:val="000000"/>
        </w:rPr>
        <w:t xml:space="preserve">Bleeding and laboratory evidence of abnormal platelet function  </w:t>
      </w:r>
    </w:p>
    <w:p w14:paraId="0DE47385" w14:textId="77777777" w:rsidR="009D5CEF" w:rsidRPr="000A2B23" w:rsidRDefault="009D5CEF">
      <w:pPr>
        <w:widowControl/>
        <w:shd w:val="clear" w:color="auto" w:fill="FFFFFF"/>
        <w:spacing w:before="280" w:line="259" w:lineRule="auto"/>
        <w:ind w:left="360"/>
        <w:rPr>
          <w:rFonts w:ascii="Arial" w:eastAsia="Arial" w:hAnsi="Arial" w:cs="Arial"/>
          <w:color w:val="0070C0"/>
          <w:sz w:val="20"/>
          <w:szCs w:val="20"/>
          <w:u w:val="single"/>
        </w:rPr>
      </w:pPr>
    </w:p>
    <w:p w14:paraId="10307DDA" w14:textId="77777777" w:rsidR="009D5CEF" w:rsidRPr="000A2B23" w:rsidRDefault="009D5CEF">
      <w:pPr>
        <w:widowControl/>
        <w:shd w:val="clear" w:color="auto" w:fill="FFFFFF"/>
        <w:spacing w:line="259" w:lineRule="auto"/>
        <w:rPr>
          <w:rFonts w:ascii="Arial" w:eastAsia="Arial" w:hAnsi="Arial" w:cs="Arial"/>
          <w:color w:val="0070C0"/>
          <w:sz w:val="20"/>
          <w:szCs w:val="20"/>
          <w:u w:val="single"/>
        </w:rPr>
      </w:pPr>
    </w:p>
    <w:p w14:paraId="2F58C114" w14:textId="77777777" w:rsidR="009D5CEF" w:rsidRPr="000A2B23" w:rsidRDefault="009D5CEF">
      <w:pPr>
        <w:widowControl/>
        <w:shd w:val="clear" w:color="auto" w:fill="FFFFFF"/>
        <w:spacing w:line="259" w:lineRule="auto"/>
        <w:rPr>
          <w:rFonts w:ascii="Arial" w:eastAsia="Arial" w:hAnsi="Arial" w:cs="Arial"/>
          <w:color w:val="0070C0"/>
          <w:sz w:val="20"/>
          <w:szCs w:val="20"/>
          <w:u w:val="single"/>
        </w:rPr>
      </w:pPr>
    </w:p>
    <w:p w14:paraId="7AF3EE89" w14:textId="77777777" w:rsidR="009D5CEF" w:rsidRPr="000A2B23" w:rsidRDefault="00000000">
      <w:pPr>
        <w:widowControl/>
        <w:spacing w:after="160" w:line="259" w:lineRule="auto"/>
        <w:rPr>
          <w:rFonts w:ascii="Arial" w:eastAsia="Arial" w:hAnsi="Arial" w:cs="Arial"/>
          <w:color w:val="0070C0"/>
          <w:sz w:val="20"/>
          <w:szCs w:val="20"/>
          <w:u w:val="single"/>
        </w:rPr>
      </w:pPr>
      <w:r w:rsidRPr="000A2B23">
        <w:rPr>
          <w:rFonts w:ascii="Arial" w:hAnsi="Arial" w:cs="Arial"/>
        </w:rPr>
        <w:br w:type="page"/>
      </w:r>
    </w:p>
    <w:p w14:paraId="7B12E88A"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lastRenderedPageBreak/>
        <w:t>1.</w:t>
      </w:r>
      <w:r w:rsidRPr="000A2B23">
        <w:rPr>
          <w:rFonts w:ascii="Arial" w:eastAsia="Calibri" w:hAnsi="Arial" w:cs="Arial"/>
          <w:color w:val="000000"/>
          <w:sz w:val="16"/>
          <w:szCs w:val="16"/>
        </w:rPr>
        <w:tab/>
        <w:t>Hebert PC, Wells G, Blajchman MA, Marshall J, Martin C, Pagliarello G, Tweeddale M, Schweitzer I, Yetisir E. A multicenter, randomized, controlled clinical trial of transfusion requirements in critical care. Transfusion Requirements in Critical Care Investigators, Canadian Critical Care Trials Group. N Engl J Med 1999;</w:t>
      </w:r>
      <w:r w:rsidRPr="000A2B23">
        <w:rPr>
          <w:rFonts w:ascii="Arial" w:eastAsia="Calibri" w:hAnsi="Arial" w:cs="Arial"/>
          <w:b/>
          <w:color w:val="000000"/>
          <w:sz w:val="16"/>
          <w:szCs w:val="16"/>
        </w:rPr>
        <w:t>340</w:t>
      </w:r>
      <w:r w:rsidRPr="000A2B23">
        <w:rPr>
          <w:rFonts w:ascii="Arial" w:eastAsia="Calibri" w:hAnsi="Arial" w:cs="Arial"/>
          <w:color w:val="000000"/>
          <w:sz w:val="16"/>
          <w:szCs w:val="16"/>
        </w:rPr>
        <w:t>: 409-17.</w:t>
      </w:r>
    </w:p>
    <w:p w14:paraId="1F6FF031"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w:t>
      </w:r>
      <w:r w:rsidRPr="000A2B23">
        <w:rPr>
          <w:rFonts w:ascii="Arial" w:eastAsia="Calibri" w:hAnsi="Arial" w:cs="Arial"/>
          <w:color w:val="000000"/>
          <w:sz w:val="16"/>
          <w:szCs w:val="16"/>
        </w:rPr>
        <w:tab/>
        <w:t>Carson JL, Guyatt G, Heddle NM, Grossman BJ, Cohn CS, Fung MK, Gernsheimer T, Holcomb JB, Kaplan LJ, Katz LM, Peterson N, Ramsey G, Rao SV, Roback JD, Shander A, Tobian AA. Clinical Practice Guidelines From the AABB: Red Blood Cell Transfusion Thresholds and Storage. Jama 2016;</w:t>
      </w:r>
      <w:r w:rsidRPr="000A2B23">
        <w:rPr>
          <w:rFonts w:ascii="Arial" w:eastAsia="Calibri" w:hAnsi="Arial" w:cs="Arial"/>
          <w:b/>
          <w:color w:val="000000"/>
          <w:sz w:val="16"/>
          <w:szCs w:val="16"/>
        </w:rPr>
        <w:t>316</w:t>
      </w:r>
      <w:r w:rsidRPr="000A2B23">
        <w:rPr>
          <w:rFonts w:ascii="Arial" w:eastAsia="Calibri" w:hAnsi="Arial" w:cs="Arial"/>
          <w:color w:val="000000"/>
          <w:sz w:val="16"/>
          <w:szCs w:val="16"/>
        </w:rPr>
        <w:t>: 2025-35.</w:t>
      </w:r>
    </w:p>
    <w:p w14:paraId="245E5D98"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w:t>
      </w:r>
      <w:r w:rsidRPr="000A2B23">
        <w:rPr>
          <w:rFonts w:ascii="Arial" w:eastAsia="Calibri" w:hAnsi="Arial" w:cs="Arial"/>
          <w:color w:val="000000"/>
          <w:sz w:val="16"/>
          <w:szCs w:val="16"/>
        </w:rPr>
        <w:tab/>
        <w:t>Carson JL, Carless PA, Hebert PC. Transfusion thresholds and other strategies for guiding allogeneic red blood cell transfusion. Cochrane Database Syst Rev 2012: Cd002042.</w:t>
      </w:r>
    </w:p>
    <w:p w14:paraId="5339693C"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4.</w:t>
      </w:r>
      <w:r w:rsidRPr="000A2B23">
        <w:rPr>
          <w:rFonts w:ascii="Arial" w:eastAsia="Calibri" w:hAnsi="Arial" w:cs="Arial"/>
          <w:color w:val="000000"/>
          <w:sz w:val="16"/>
          <w:szCs w:val="16"/>
        </w:rPr>
        <w:tab/>
        <w:t>Hebert PC, Yetisir E, Martin C, Blajchman MA, Wells G, Marshall J, Tweeddale M, Pagliarello G, Schweitzer I. Is a low transfusion threshold safe in critically ill patients with cardiovascular diseases? Crit Care Med 2001;</w:t>
      </w:r>
      <w:r w:rsidRPr="000A2B23">
        <w:rPr>
          <w:rFonts w:ascii="Arial" w:eastAsia="Calibri" w:hAnsi="Arial" w:cs="Arial"/>
          <w:b/>
          <w:color w:val="000000"/>
          <w:sz w:val="16"/>
          <w:szCs w:val="16"/>
        </w:rPr>
        <w:t>29</w:t>
      </w:r>
      <w:r w:rsidRPr="000A2B23">
        <w:rPr>
          <w:rFonts w:ascii="Arial" w:eastAsia="Calibri" w:hAnsi="Arial" w:cs="Arial"/>
          <w:color w:val="000000"/>
          <w:sz w:val="16"/>
          <w:szCs w:val="16"/>
        </w:rPr>
        <w:t>: 227-34.</w:t>
      </w:r>
    </w:p>
    <w:p w14:paraId="5C86F48B"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5.</w:t>
      </w:r>
      <w:r w:rsidRPr="000A2B23">
        <w:rPr>
          <w:rFonts w:ascii="Arial" w:eastAsia="Calibri" w:hAnsi="Arial" w:cs="Arial"/>
          <w:color w:val="000000"/>
          <w:sz w:val="16"/>
          <w:szCs w:val="16"/>
        </w:rPr>
        <w:tab/>
        <w:t>Holst LB, Haase N, Wetterslev J, Wernerman J, Guttormsen AB, Karlsson S, Johansson PI, Aneman A, Vang ML, Winding R, Nebrich L, Nibro HL, Rasmussen BS, Lauridsen JR, Nielsen JS, Oldner A, Pettila V, Cronhjort MB, Andersen LH, Pedersen UG, Reiter N, Wiis J, White JO, Russell L, Thornberg KJ, Hjortrup PB, Muller RG, Moller MH, Steensen M, Tjader I, Kilsand K, Odeberg-Wernerman S, Sjobo B, Bundgaard H, Thyo MA, Lodahl D, Maerkedahl R, Albeck C, Illum D, Kruse M, Winkel P, Perner A. Lower versus higher hemoglobin threshold for transfusion in septic shock. N Engl J Med 2014;</w:t>
      </w:r>
      <w:r w:rsidRPr="000A2B23">
        <w:rPr>
          <w:rFonts w:ascii="Arial" w:eastAsia="Calibri" w:hAnsi="Arial" w:cs="Arial"/>
          <w:b/>
          <w:color w:val="000000"/>
          <w:sz w:val="16"/>
          <w:szCs w:val="16"/>
        </w:rPr>
        <w:t>371</w:t>
      </w:r>
      <w:r w:rsidRPr="000A2B23">
        <w:rPr>
          <w:rFonts w:ascii="Arial" w:eastAsia="Calibri" w:hAnsi="Arial" w:cs="Arial"/>
          <w:color w:val="000000"/>
          <w:sz w:val="16"/>
          <w:szCs w:val="16"/>
        </w:rPr>
        <w:t>: 1381-91.</w:t>
      </w:r>
    </w:p>
    <w:p w14:paraId="406058DB"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6.</w:t>
      </w:r>
      <w:r w:rsidRPr="000A2B23">
        <w:rPr>
          <w:rFonts w:ascii="Arial" w:eastAsia="Calibri" w:hAnsi="Arial" w:cs="Arial"/>
          <w:color w:val="000000"/>
          <w:sz w:val="16"/>
          <w:szCs w:val="16"/>
        </w:rPr>
        <w:tab/>
        <w:t>Qaseem A, Humphrey LL, Fitterman N, Starkey M, Shekelle P. Treatment of anemia in patients with heart disease: a clinical practice guideline from the American College of Physicians. Ann Intern Med 2013;</w:t>
      </w:r>
      <w:r w:rsidRPr="000A2B23">
        <w:rPr>
          <w:rFonts w:ascii="Arial" w:eastAsia="Calibri" w:hAnsi="Arial" w:cs="Arial"/>
          <w:b/>
          <w:color w:val="000000"/>
          <w:sz w:val="16"/>
          <w:szCs w:val="16"/>
        </w:rPr>
        <w:t>159</w:t>
      </w:r>
      <w:r w:rsidRPr="000A2B23">
        <w:rPr>
          <w:rFonts w:ascii="Arial" w:eastAsia="Calibri" w:hAnsi="Arial" w:cs="Arial"/>
          <w:color w:val="000000"/>
          <w:sz w:val="16"/>
          <w:szCs w:val="16"/>
        </w:rPr>
        <w:t>: 770-9.</w:t>
      </w:r>
    </w:p>
    <w:p w14:paraId="4B3D93AA"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7.</w:t>
      </w:r>
      <w:r w:rsidRPr="000A2B23">
        <w:rPr>
          <w:rFonts w:ascii="Arial" w:eastAsia="Calibri" w:hAnsi="Arial" w:cs="Arial"/>
          <w:color w:val="000000"/>
          <w:sz w:val="16"/>
          <w:szCs w:val="16"/>
        </w:rPr>
        <w:tab/>
        <w:t>Villanueva C, Colomo A, Bosch A, Concepcion M, Hernandez-Gea V, Aracil C, Graupera I, Poca M, Alvarez-Urturi C, Gordillo J, Guarner-Argente C, Santalo M, Muniz E, Guarner C. Transfusion strategies for acute upper gastrointestinal bleeding. N Engl J Med 2013;</w:t>
      </w:r>
      <w:r w:rsidRPr="000A2B23">
        <w:rPr>
          <w:rFonts w:ascii="Arial" w:eastAsia="Calibri" w:hAnsi="Arial" w:cs="Arial"/>
          <w:b/>
          <w:color w:val="000000"/>
          <w:sz w:val="16"/>
          <w:szCs w:val="16"/>
        </w:rPr>
        <w:t>368</w:t>
      </w:r>
      <w:r w:rsidRPr="000A2B23">
        <w:rPr>
          <w:rFonts w:ascii="Arial" w:eastAsia="Calibri" w:hAnsi="Arial" w:cs="Arial"/>
          <w:color w:val="000000"/>
          <w:sz w:val="16"/>
          <w:szCs w:val="16"/>
        </w:rPr>
        <w:t>: 11-21.</w:t>
      </w:r>
    </w:p>
    <w:p w14:paraId="1456ACE3"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8.</w:t>
      </w:r>
      <w:r w:rsidRPr="000A2B23">
        <w:rPr>
          <w:rFonts w:ascii="Arial" w:eastAsia="Calibri" w:hAnsi="Arial" w:cs="Arial"/>
          <w:color w:val="000000"/>
          <w:sz w:val="16"/>
          <w:szCs w:val="16"/>
        </w:rPr>
        <w:tab/>
        <w:t>Hicks LK, Bering H, Carson KR, Kleinerman J, Kukreti V, Ma A, Mueller BU, O'Brien SH, Pasquini M, Sarode R, Solberg L, Jr., Haynes AE, Crowther MA. The ASH Choosing Wisely(R) campaign: five hematologic tests and treatments to question. Blood 2013;</w:t>
      </w:r>
      <w:r w:rsidRPr="000A2B23">
        <w:rPr>
          <w:rFonts w:ascii="Arial" w:eastAsia="Calibri" w:hAnsi="Arial" w:cs="Arial"/>
          <w:b/>
          <w:color w:val="000000"/>
          <w:sz w:val="16"/>
          <w:szCs w:val="16"/>
        </w:rPr>
        <w:t>122</w:t>
      </w:r>
      <w:r w:rsidRPr="000A2B23">
        <w:rPr>
          <w:rFonts w:ascii="Arial" w:eastAsia="Calibri" w:hAnsi="Arial" w:cs="Arial"/>
          <w:color w:val="000000"/>
          <w:sz w:val="16"/>
          <w:szCs w:val="16"/>
        </w:rPr>
        <w:t>: 3879-83.</w:t>
      </w:r>
    </w:p>
    <w:p w14:paraId="5C3348EB"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9.</w:t>
      </w:r>
      <w:r w:rsidRPr="000A2B23">
        <w:rPr>
          <w:rFonts w:ascii="Arial" w:eastAsia="Calibri" w:hAnsi="Arial" w:cs="Arial"/>
          <w:color w:val="000000"/>
          <w:sz w:val="16"/>
          <w:szCs w:val="16"/>
        </w:rPr>
        <w:tab/>
        <w:t>Clinical practice guidelines on cancer-related anemia (2012-2013 Edition). Chin Clin Oncol 2012;</w:t>
      </w:r>
      <w:r w:rsidRPr="000A2B23">
        <w:rPr>
          <w:rFonts w:ascii="Arial" w:eastAsia="Calibri" w:hAnsi="Arial" w:cs="Arial"/>
          <w:b/>
          <w:color w:val="000000"/>
          <w:sz w:val="16"/>
          <w:szCs w:val="16"/>
        </w:rPr>
        <w:t>1</w:t>
      </w:r>
      <w:r w:rsidRPr="000A2B23">
        <w:rPr>
          <w:rFonts w:ascii="Arial" w:eastAsia="Calibri" w:hAnsi="Arial" w:cs="Arial"/>
          <w:color w:val="000000"/>
          <w:sz w:val="16"/>
          <w:szCs w:val="16"/>
        </w:rPr>
        <w:t>: 18.</w:t>
      </w:r>
    </w:p>
    <w:p w14:paraId="36815203"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10.</w:t>
      </w:r>
      <w:r w:rsidRPr="000A2B23">
        <w:rPr>
          <w:rFonts w:ascii="Arial" w:eastAsia="Calibri" w:hAnsi="Arial" w:cs="Arial"/>
          <w:color w:val="000000"/>
          <w:sz w:val="16"/>
          <w:szCs w:val="16"/>
        </w:rPr>
        <w:tab/>
        <w:t>Berger MD, Gerber B, Arn K, Senn O, Schanz U, Stussi G. Significant reduction of red blood cell transfusion requirements by changing from a double-unit to a single-unit transfusion policy in patients receiving intensive chemotherapy or stem cell transplantation. Haematologica 2012;</w:t>
      </w:r>
      <w:r w:rsidRPr="000A2B23">
        <w:rPr>
          <w:rFonts w:ascii="Arial" w:eastAsia="Calibri" w:hAnsi="Arial" w:cs="Arial"/>
          <w:b/>
          <w:color w:val="000000"/>
          <w:sz w:val="16"/>
          <w:szCs w:val="16"/>
        </w:rPr>
        <w:t>97</w:t>
      </w:r>
      <w:r w:rsidRPr="000A2B23">
        <w:rPr>
          <w:rFonts w:ascii="Arial" w:eastAsia="Calibri" w:hAnsi="Arial" w:cs="Arial"/>
          <w:color w:val="000000"/>
          <w:sz w:val="16"/>
          <w:szCs w:val="16"/>
        </w:rPr>
        <w:t>: 116-22.</w:t>
      </w:r>
    </w:p>
    <w:p w14:paraId="1A34137C"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11.</w:t>
      </w:r>
      <w:r w:rsidRPr="000A2B23">
        <w:rPr>
          <w:rFonts w:ascii="Arial" w:eastAsia="Calibri" w:hAnsi="Arial" w:cs="Arial"/>
          <w:color w:val="000000"/>
          <w:sz w:val="16"/>
          <w:szCs w:val="16"/>
        </w:rPr>
        <w:tab/>
        <w:t>Gross I, Trentino KM, Andreescu A, Pierson R, Maietta RA, Farmer S. Impact of a Patient Blood Management Program and an Outpatient Anemia Management Protocol on Red Cell Transfusions in Oncology Inpatients and Outpatients. Oncologist 2016;</w:t>
      </w:r>
      <w:r w:rsidRPr="000A2B23">
        <w:rPr>
          <w:rFonts w:ascii="Arial" w:eastAsia="Calibri" w:hAnsi="Arial" w:cs="Arial"/>
          <w:b/>
          <w:color w:val="000000"/>
          <w:sz w:val="16"/>
          <w:szCs w:val="16"/>
        </w:rPr>
        <w:t>21</w:t>
      </w:r>
      <w:r w:rsidRPr="000A2B23">
        <w:rPr>
          <w:rFonts w:ascii="Arial" w:eastAsia="Calibri" w:hAnsi="Arial" w:cs="Arial"/>
          <w:color w:val="000000"/>
          <w:sz w:val="16"/>
          <w:szCs w:val="16"/>
        </w:rPr>
        <w:t>: 327-32.</w:t>
      </w:r>
    </w:p>
    <w:p w14:paraId="5ADC4015"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12.</w:t>
      </w:r>
      <w:r w:rsidRPr="000A2B23">
        <w:rPr>
          <w:rFonts w:ascii="Arial" w:eastAsia="Calibri" w:hAnsi="Arial" w:cs="Arial"/>
          <w:color w:val="000000"/>
          <w:sz w:val="16"/>
          <w:szCs w:val="16"/>
        </w:rPr>
        <w:tab/>
        <w:t>Prescott LS, Taylor JS, Lopez-Olivo MA, Munsell MF, VonVille HM, Lairson DR, Bodurka DC. How low should we go: A systematic review and meta-analysis of the impact of restrictive red blood cell transfusion strategies in oncology. Cancer Treat Rev 2016;</w:t>
      </w:r>
      <w:r w:rsidRPr="000A2B23">
        <w:rPr>
          <w:rFonts w:ascii="Arial" w:eastAsia="Calibri" w:hAnsi="Arial" w:cs="Arial"/>
          <w:b/>
          <w:color w:val="000000"/>
          <w:sz w:val="16"/>
          <w:szCs w:val="16"/>
        </w:rPr>
        <w:t>46</w:t>
      </w:r>
      <w:r w:rsidRPr="000A2B23">
        <w:rPr>
          <w:rFonts w:ascii="Arial" w:eastAsia="Calibri" w:hAnsi="Arial" w:cs="Arial"/>
          <w:color w:val="000000"/>
          <w:sz w:val="16"/>
          <w:szCs w:val="16"/>
        </w:rPr>
        <w:t>: 1-8.</w:t>
      </w:r>
    </w:p>
    <w:p w14:paraId="4E933CC5"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13.</w:t>
      </w:r>
      <w:r w:rsidRPr="000A2B23">
        <w:rPr>
          <w:rFonts w:ascii="Arial" w:eastAsia="Calibri" w:hAnsi="Arial" w:cs="Arial"/>
          <w:color w:val="000000"/>
          <w:sz w:val="16"/>
          <w:szCs w:val="16"/>
        </w:rPr>
        <w:tab/>
        <w:t>Hoeks MPA, Kranenburg FJ, Middelburg RA, van Kraaij MGJ, Zwaginga JJ. Impact of red blood cell transfusion strategies in haemato-oncological patients: a systematic review and meta-analysis. Br J Haematol 2017;</w:t>
      </w:r>
      <w:r w:rsidRPr="000A2B23">
        <w:rPr>
          <w:rFonts w:ascii="Arial" w:eastAsia="Calibri" w:hAnsi="Arial" w:cs="Arial"/>
          <w:b/>
          <w:color w:val="000000"/>
          <w:sz w:val="16"/>
          <w:szCs w:val="16"/>
        </w:rPr>
        <w:t>178</w:t>
      </w:r>
      <w:r w:rsidRPr="000A2B23">
        <w:rPr>
          <w:rFonts w:ascii="Arial" w:eastAsia="Calibri" w:hAnsi="Arial" w:cs="Arial"/>
          <w:color w:val="000000"/>
          <w:sz w:val="16"/>
          <w:szCs w:val="16"/>
        </w:rPr>
        <w:t>: 137-51.</w:t>
      </w:r>
    </w:p>
    <w:p w14:paraId="018F34ED"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14.</w:t>
      </w:r>
      <w:r w:rsidRPr="000A2B23">
        <w:rPr>
          <w:rFonts w:ascii="Arial" w:eastAsia="Calibri" w:hAnsi="Arial" w:cs="Arial"/>
          <w:color w:val="000000"/>
          <w:sz w:val="16"/>
          <w:szCs w:val="16"/>
        </w:rPr>
        <w:tab/>
        <w:t>Leahy MF, Trentino KM, May C, Swain SG, Chuah H, Farmer SL. Blood use in patients receiving intensive chemotherapy for acute leukemia or hematopoietic stem cell transplantation: the impact of a health system-wide patient blood management program. Transfusion 2017;</w:t>
      </w:r>
      <w:r w:rsidRPr="000A2B23">
        <w:rPr>
          <w:rFonts w:ascii="Arial" w:eastAsia="Calibri" w:hAnsi="Arial" w:cs="Arial"/>
          <w:b/>
          <w:color w:val="000000"/>
          <w:sz w:val="16"/>
          <w:szCs w:val="16"/>
        </w:rPr>
        <w:t>57</w:t>
      </w:r>
      <w:r w:rsidRPr="000A2B23">
        <w:rPr>
          <w:rFonts w:ascii="Arial" w:eastAsia="Calibri" w:hAnsi="Arial" w:cs="Arial"/>
          <w:color w:val="000000"/>
          <w:sz w:val="16"/>
          <w:szCs w:val="16"/>
        </w:rPr>
        <w:t>: 2189-96.</w:t>
      </w:r>
    </w:p>
    <w:p w14:paraId="6DEE1607"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15.</w:t>
      </w:r>
      <w:r w:rsidRPr="000A2B23">
        <w:rPr>
          <w:rFonts w:ascii="Arial" w:eastAsia="Calibri" w:hAnsi="Arial" w:cs="Arial"/>
          <w:color w:val="000000"/>
          <w:sz w:val="16"/>
          <w:szCs w:val="16"/>
        </w:rPr>
        <w:tab/>
        <w:t>Bassand JP, Hamm CW, Ardissino D, Boersma E, Budaj A, Fernandez-Aviles F, Fox KA, Hasdai D, Ohman EM, Wallentin L, Wijns W. Guidelines for the diagnosis and treatment of non-ST-segment elevation acute coronary syndromes. Eur Heart J 2007;</w:t>
      </w:r>
      <w:r w:rsidRPr="000A2B23">
        <w:rPr>
          <w:rFonts w:ascii="Arial" w:eastAsia="Calibri" w:hAnsi="Arial" w:cs="Arial"/>
          <w:b/>
          <w:color w:val="000000"/>
          <w:sz w:val="16"/>
          <w:szCs w:val="16"/>
        </w:rPr>
        <w:t>28</w:t>
      </w:r>
      <w:r w:rsidRPr="000A2B23">
        <w:rPr>
          <w:rFonts w:ascii="Arial" w:eastAsia="Calibri" w:hAnsi="Arial" w:cs="Arial"/>
          <w:color w:val="000000"/>
          <w:sz w:val="16"/>
          <w:szCs w:val="16"/>
        </w:rPr>
        <w:t>: 1598-660.</w:t>
      </w:r>
    </w:p>
    <w:p w14:paraId="61CFF1A5"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16.</w:t>
      </w:r>
      <w:r w:rsidRPr="000A2B23">
        <w:rPr>
          <w:rFonts w:ascii="Arial" w:eastAsia="Calibri" w:hAnsi="Arial" w:cs="Arial"/>
          <w:color w:val="000000"/>
          <w:sz w:val="16"/>
          <w:szCs w:val="16"/>
        </w:rPr>
        <w:tab/>
        <w:t>Chatterjee S, Wetterslev J, Sharma A, Lichstein E, Mukherjee D. Association of blood transfusion with increased mortality in myocardial infarction: a meta-analysis and diversity-adjusted study sequential analysis. JAMA Intern Med 2013;</w:t>
      </w:r>
      <w:r w:rsidRPr="000A2B23">
        <w:rPr>
          <w:rFonts w:ascii="Arial" w:eastAsia="Calibri" w:hAnsi="Arial" w:cs="Arial"/>
          <w:b/>
          <w:color w:val="000000"/>
          <w:sz w:val="16"/>
          <w:szCs w:val="16"/>
        </w:rPr>
        <w:t>173</w:t>
      </w:r>
      <w:r w:rsidRPr="000A2B23">
        <w:rPr>
          <w:rFonts w:ascii="Arial" w:eastAsia="Calibri" w:hAnsi="Arial" w:cs="Arial"/>
          <w:color w:val="000000"/>
          <w:sz w:val="16"/>
          <w:szCs w:val="16"/>
        </w:rPr>
        <w:t>: 132-9.</w:t>
      </w:r>
    </w:p>
    <w:p w14:paraId="017629ED"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17.</w:t>
      </w:r>
      <w:r w:rsidRPr="000A2B23">
        <w:rPr>
          <w:rFonts w:ascii="Arial" w:eastAsia="Calibri" w:hAnsi="Arial" w:cs="Arial"/>
          <w:color w:val="000000"/>
          <w:sz w:val="16"/>
          <w:szCs w:val="16"/>
        </w:rPr>
        <w:tab/>
        <w:t>Webert KE, Cook RJ, Couban S, Carruthers J, Lee KA, Blajchman MA, Lipton JH, Brandwein JM, Heddle NM. A multicenter pilot-randomized controlled trial of the feasibility of an augmented red blood cell transfusion strategy for patients treated with induction chemotherapy for acute leukemia or stem cell transplantation. Transfusion 2008;</w:t>
      </w:r>
      <w:r w:rsidRPr="000A2B23">
        <w:rPr>
          <w:rFonts w:ascii="Arial" w:eastAsia="Calibri" w:hAnsi="Arial" w:cs="Arial"/>
          <w:b/>
          <w:color w:val="000000"/>
          <w:sz w:val="16"/>
          <w:szCs w:val="16"/>
        </w:rPr>
        <w:t>48</w:t>
      </w:r>
      <w:r w:rsidRPr="000A2B23">
        <w:rPr>
          <w:rFonts w:ascii="Arial" w:eastAsia="Calibri" w:hAnsi="Arial" w:cs="Arial"/>
          <w:color w:val="000000"/>
          <w:sz w:val="16"/>
          <w:szCs w:val="16"/>
        </w:rPr>
        <w:t>: 81-91.</w:t>
      </w:r>
    </w:p>
    <w:p w14:paraId="2D331A8D"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18.</w:t>
      </w:r>
      <w:r w:rsidRPr="000A2B23">
        <w:rPr>
          <w:rFonts w:ascii="Arial" w:eastAsia="Calibri" w:hAnsi="Arial" w:cs="Arial"/>
          <w:color w:val="000000"/>
          <w:sz w:val="16"/>
          <w:szCs w:val="16"/>
        </w:rPr>
        <w:tab/>
        <w:t>Watkins T, Surowiecka MK, McCullough J. Transfusion indications for patients with cancer. Cancer Control 2015;</w:t>
      </w:r>
      <w:r w:rsidRPr="000A2B23">
        <w:rPr>
          <w:rFonts w:ascii="Arial" w:eastAsia="Calibri" w:hAnsi="Arial" w:cs="Arial"/>
          <w:b/>
          <w:color w:val="000000"/>
          <w:sz w:val="16"/>
          <w:szCs w:val="16"/>
        </w:rPr>
        <w:t>22</w:t>
      </w:r>
      <w:r w:rsidRPr="000A2B23">
        <w:rPr>
          <w:rFonts w:ascii="Arial" w:eastAsia="Calibri" w:hAnsi="Arial" w:cs="Arial"/>
          <w:color w:val="000000"/>
          <w:sz w:val="16"/>
          <w:szCs w:val="16"/>
        </w:rPr>
        <w:t>: 38-46.</w:t>
      </w:r>
    </w:p>
    <w:p w14:paraId="1C8E6892"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19.</w:t>
      </w:r>
      <w:r w:rsidRPr="000A2B23">
        <w:rPr>
          <w:rFonts w:ascii="Arial" w:eastAsia="Calibri" w:hAnsi="Arial" w:cs="Arial"/>
          <w:color w:val="000000"/>
          <w:sz w:val="16"/>
          <w:szCs w:val="16"/>
        </w:rPr>
        <w:tab/>
        <w:t>DeBaun MR, Gordon M, McKinstry RC, Noetzel MJ, White DA, Sarnaik SA, Meier ER, Howard TH, Majumdar S, Inusa BP, Telfer PT, Kirby-Allen M, McCavit TL, Kamdem A, Airewele G, Woods GM, Berman B, Panepinto JA, Fuh BR, Kwiatkowski JL, King AA, Fixler JM, Rhodes MM, Thompson AA, Heiny ME, Redding-Lallinger RC, Kirkham FJ, Dixon N, Gonzalez CE, Kalinyak KA, Quinn CT, Strouse JJ, Miller JP, Lehmann H, Kraut MA, Ball WS, Jr., Hirtz D, Casella JF. Controlled trial of transfusions for silent cerebral infarcts in sickle cell anemia. N Engl J Med 2014;</w:t>
      </w:r>
      <w:r w:rsidRPr="000A2B23">
        <w:rPr>
          <w:rFonts w:ascii="Arial" w:eastAsia="Calibri" w:hAnsi="Arial" w:cs="Arial"/>
          <w:b/>
          <w:color w:val="000000"/>
          <w:sz w:val="16"/>
          <w:szCs w:val="16"/>
        </w:rPr>
        <w:t>371</w:t>
      </w:r>
      <w:r w:rsidRPr="000A2B23">
        <w:rPr>
          <w:rFonts w:ascii="Arial" w:eastAsia="Calibri" w:hAnsi="Arial" w:cs="Arial"/>
          <w:color w:val="000000"/>
          <w:sz w:val="16"/>
          <w:szCs w:val="16"/>
        </w:rPr>
        <w:t>: 699-710.</w:t>
      </w:r>
    </w:p>
    <w:p w14:paraId="1E4E63BF"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20.</w:t>
      </w:r>
      <w:r w:rsidRPr="000A2B23">
        <w:rPr>
          <w:rFonts w:ascii="Arial" w:eastAsia="Calibri" w:hAnsi="Arial" w:cs="Arial"/>
          <w:color w:val="000000"/>
          <w:sz w:val="16"/>
          <w:szCs w:val="16"/>
        </w:rPr>
        <w:tab/>
        <w:t>Yawn BP, Buchanan GR, Afenyi-Annan AN, Ballas SK, Hassell KL, James AH, Jordan L, Lanzkron SM, Lottenberg R, Savage WJ, Tanabe PJ, Ware RE, Murad MH, Goldsmith JC, Ortiz E, Fulwood R, Horton A, John-Sowah J. Management of sickle cell disease: summary of the 2014 evidence-based report by expert panel members. Jama 2014;</w:t>
      </w:r>
      <w:r w:rsidRPr="000A2B23">
        <w:rPr>
          <w:rFonts w:ascii="Arial" w:eastAsia="Calibri" w:hAnsi="Arial" w:cs="Arial"/>
          <w:b/>
          <w:color w:val="000000"/>
          <w:sz w:val="16"/>
          <w:szCs w:val="16"/>
        </w:rPr>
        <w:t>312</w:t>
      </w:r>
      <w:r w:rsidRPr="000A2B23">
        <w:rPr>
          <w:rFonts w:ascii="Arial" w:eastAsia="Calibri" w:hAnsi="Arial" w:cs="Arial"/>
          <w:color w:val="000000"/>
          <w:sz w:val="16"/>
          <w:szCs w:val="16"/>
        </w:rPr>
        <w:t>: 1033-48.</w:t>
      </w:r>
    </w:p>
    <w:p w14:paraId="40556925"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21.</w:t>
      </w:r>
      <w:r w:rsidRPr="000A2B23">
        <w:rPr>
          <w:rFonts w:ascii="Arial" w:eastAsia="Calibri" w:hAnsi="Arial" w:cs="Arial"/>
          <w:color w:val="000000"/>
          <w:sz w:val="16"/>
          <w:szCs w:val="16"/>
        </w:rPr>
        <w:tab/>
        <w:t>Schiffer CA, Bohlke K, Delaney M, Hume H, Magdalinski AJ, McCullough JJ, Omel JL, Rainey JM, Rebulla P, Rowley SD, Troner MB, Anderson KC. Platelet Transfusion for Patients With Cancer: American Society of Clinical Oncology Clinical Practice Guideline Update. J Clin Oncol 2018;</w:t>
      </w:r>
      <w:r w:rsidRPr="000A2B23">
        <w:rPr>
          <w:rFonts w:ascii="Arial" w:eastAsia="Calibri" w:hAnsi="Arial" w:cs="Arial"/>
          <w:b/>
          <w:color w:val="000000"/>
          <w:sz w:val="16"/>
          <w:szCs w:val="16"/>
        </w:rPr>
        <w:t>36</w:t>
      </w:r>
      <w:r w:rsidRPr="000A2B23">
        <w:rPr>
          <w:rFonts w:ascii="Arial" w:eastAsia="Calibri" w:hAnsi="Arial" w:cs="Arial"/>
          <w:color w:val="000000"/>
          <w:sz w:val="16"/>
          <w:szCs w:val="16"/>
        </w:rPr>
        <w:t>: 283-99.</w:t>
      </w:r>
    </w:p>
    <w:p w14:paraId="27AF8EF7"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22.</w:t>
      </w:r>
      <w:r w:rsidRPr="000A2B23">
        <w:rPr>
          <w:rFonts w:ascii="Arial" w:eastAsia="Calibri" w:hAnsi="Arial" w:cs="Arial"/>
          <w:color w:val="000000"/>
          <w:sz w:val="16"/>
          <w:szCs w:val="16"/>
        </w:rPr>
        <w:tab/>
        <w:t>Wandt H, Frank M, Ehninger G, Schneider C, Brack N, Daoud A, Fackler-Schwalbe I, Fischer J, Gackle R, Geer T, Harms P, Loffler B, Ohl S, Otremba B, Raab M, Schonrock-Nabulsi P, Strobel G, Winter R, Link H. Safety and cost effectiveness of a 10 x 10(9)/L trigger for prophylactic platelet transfusions compared with the traditional 20 x 10(9)/L trigger: a prospective comparative trial in 105 patients with acute myeloid leukemia. Blood 1998;</w:t>
      </w:r>
      <w:r w:rsidRPr="000A2B23">
        <w:rPr>
          <w:rFonts w:ascii="Arial" w:eastAsia="Calibri" w:hAnsi="Arial" w:cs="Arial"/>
          <w:b/>
          <w:color w:val="000000"/>
          <w:sz w:val="16"/>
          <w:szCs w:val="16"/>
        </w:rPr>
        <w:t>91</w:t>
      </w:r>
      <w:r w:rsidRPr="000A2B23">
        <w:rPr>
          <w:rFonts w:ascii="Arial" w:eastAsia="Calibri" w:hAnsi="Arial" w:cs="Arial"/>
          <w:color w:val="000000"/>
          <w:sz w:val="16"/>
          <w:szCs w:val="16"/>
        </w:rPr>
        <w:t>: 3601-6.</w:t>
      </w:r>
    </w:p>
    <w:p w14:paraId="150C65B6"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23.</w:t>
      </w:r>
      <w:r w:rsidRPr="000A2B23">
        <w:rPr>
          <w:rFonts w:ascii="Arial" w:eastAsia="Calibri" w:hAnsi="Arial" w:cs="Arial"/>
          <w:color w:val="000000"/>
          <w:sz w:val="16"/>
          <w:szCs w:val="16"/>
        </w:rPr>
        <w:tab/>
        <w:t>Stanworth SJ, Estcourt LJ, Powter G, Kahan BC, Dyer C, Choo L, Bakrania L, Llewelyn C, Littlewood T, Soutar R, Norfolk D, Copplestone A, Smith N, Kerr P, Jones G, Raj K, Westerman DA, Szer J, Jackson N, Bardy PG, Plews D, Lyons S, Bielby L, Wood EM, Murphy MF. A no-prophylaxis platelet-transfusion strategy for hematologic cancers. N Engl J Med 2013;</w:t>
      </w:r>
      <w:r w:rsidRPr="000A2B23">
        <w:rPr>
          <w:rFonts w:ascii="Arial" w:eastAsia="Calibri" w:hAnsi="Arial" w:cs="Arial"/>
          <w:b/>
          <w:color w:val="000000"/>
          <w:sz w:val="16"/>
          <w:szCs w:val="16"/>
        </w:rPr>
        <w:t>368</w:t>
      </w:r>
      <w:r w:rsidRPr="000A2B23">
        <w:rPr>
          <w:rFonts w:ascii="Arial" w:eastAsia="Calibri" w:hAnsi="Arial" w:cs="Arial"/>
          <w:color w:val="000000"/>
          <w:sz w:val="16"/>
          <w:szCs w:val="16"/>
        </w:rPr>
        <w:t>: 1771-80.</w:t>
      </w:r>
    </w:p>
    <w:p w14:paraId="17A6B1A4"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24.</w:t>
      </w:r>
      <w:r w:rsidRPr="000A2B23">
        <w:rPr>
          <w:rFonts w:ascii="Arial" w:eastAsia="Calibri" w:hAnsi="Arial" w:cs="Arial"/>
          <w:color w:val="000000"/>
          <w:sz w:val="16"/>
          <w:szCs w:val="16"/>
        </w:rPr>
        <w:tab/>
        <w:t xml:space="preserve">Wandt H, Schaefer-Eckart K, Wendelin K, Pilz B, Wilhelm M, Thalheimer M, Mahlknecht U, Ho A, Schaich M, Kramer M, </w:t>
      </w:r>
      <w:r w:rsidRPr="000A2B23">
        <w:rPr>
          <w:rFonts w:ascii="Arial" w:eastAsia="Calibri" w:hAnsi="Arial" w:cs="Arial"/>
          <w:color w:val="000000"/>
          <w:sz w:val="16"/>
          <w:szCs w:val="16"/>
        </w:rPr>
        <w:lastRenderedPageBreak/>
        <w:t>Kaufmann M, Leimer L, Schwerdtfeger R, Conradi R, Dolken G, Klenner A, Hanel M, Herbst R, Junghanss C, Ehninger G. Therapeutic platelet transfusion versus routine prophylactic transfusion in patients with haematological malignancies: an open-label, multicentre, randomised study. Lancet 2012;</w:t>
      </w:r>
      <w:r w:rsidRPr="000A2B23">
        <w:rPr>
          <w:rFonts w:ascii="Arial" w:eastAsia="Calibri" w:hAnsi="Arial" w:cs="Arial"/>
          <w:b/>
          <w:color w:val="000000"/>
          <w:sz w:val="16"/>
          <w:szCs w:val="16"/>
        </w:rPr>
        <w:t>380</w:t>
      </w:r>
      <w:r w:rsidRPr="000A2B23">
        <w:rPr>
          <w:rFonts w:ascii="Arial" w:eastAsia="Calibri" w:hAnsi="Arial" w:cs="Arial"/>
          <w:color w:val="000000"/>
          <w:sz w:val="16"/>
          <w:szCs w:val="16"/>
        </w:rPr>
        <w:t>: 1309-16.</w:t>
      </w:r>
    </w:p>
    <w:p w14:paraId="70F98EBB"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25.</w:t>
      </w:r>
      <w:r w:rsidRPr="000A2B23">
        <w:rPr>
          <w:rFonts w:ascii="Arial" w:eastAsia="Calibri" w:hAnsi="Arial" w:cs="Arial"/>
          <w:color w:val="000000"/>
          <w:sz w:val="16"/>
          <w:szCs w:val="16"/>
        </w:rPr>
        <w:tab/>
        <w:t>Stanworth SJ, Estcourt LJ, Llewelyn CA, Murphy MF, Wood EM. Impact of prophylactic platelet transfusions on bleeding events in patients with hematologic malignancies: a subgroup analysis of a randomized trial. Transfusion 2014;</w:t>
      </w:r>
      <w:r w:rsidRPr="000A2B23">
        <w:rPr>
          <w:rFonts w:ascii="Arial" w:eastAsia="Calibri" w:hAnsi="Arial" w:cs="Arial"/>
          <w:b/>
          <w:color w:val="000000"/>
          <w:sz w:val="16"/>
          <w:szCs w:val="16"/>
        </w:rPr>
        <w:t>54</w:t>
      </w:r>
      <w:r w:rsidRPr="000A2B23">
        <w:rPr>
          <w:rFonts w:ascii="Arial" w:eastAsia="Calibri" w:hAnsi="Arial" w:cs="Arial"/>
          <w:color w:val="000000"/>
          <w:sz w:val="16"/>
          <w:szCs w:val="16"/>
        </w:rPr>
        <w:t>: 2385-93.</w:t>
      </w:r>
    </w:p>
    <w:p w14:paraId="30E597F1"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26.</w:t>
      </w:r>
      <w:r w:rsidRPr="000A2B23">
        <w:rPr>
          <w:rFonts w:ascii="Arial" w:eastAsia="Calibri" w:hAnsi="Arial" w:cs="Arial"/>
          <w:color w:val="000000"/>
          <w:sz w:val="16"/>
          <w:szCs w:val="16"/>
        </w:rPr>
        <w:tab/>
        <w:t>Slichter SJ, Kaufman RM, Assmann SF, McCullough J, Triulzi DJ, Strauss RG, Gernsheimer TB, Ness PM, Brecher ME, Josephson CD, Konkle BA, Woodson RD, Ortel TL, Hillyer CD, Skerrett DL, McCrae KR, Sloan SR, Uhl L, George JN, Aquino VM, Manno CS, McFarland JG, Hess JR, Leissinger C, Granger S. Dose of prophylactic platelet transfusions and prevention of hemorrhage. N Engl J Med 2010;</w:t>
      </w:r>
      <w:r w:rsidRPr="000A2B23">
        <w:rPr>
          <w:rFonts w:ascii="Arial" w:eastAsia="Calibri" w:hAnsi="Arial" w:cs="Arial"/>
          <w:b/>
          <w:color w:val="000000"/>
          <w:sz w:val="16"/>
          <w:szCs w:val="16"/>
        </w:rPr>
        <w:t>362</w:t>
      </w:r>
      <w:r w:rsidRPr="000A2B23">
        <w:rPr>
          <w:rFonts w:ascii="Arial" w:eastAsia="Calibri" w:hAnsi="Arial" w:cs="Arial"/>
          <w:color w:val="000000"/>
          <w:sz w:val="16"/>
          <w:szCs w:val="16"/>
        </w:rPr>
        <w:t>: 600-13.</w:t>
      </w:r>
    </w:p>
    <w:p w14:paraId="7302C3B3"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27.</w:t>
      </w:r>
      <w:r w:rsidRPr="000A2B23">
        <w:rPr>
          <w:rFonts w:ascii="Arial" w:eastAsia="Calibri" w:hAnsi="Arial" w:cs="Arial"/>
          <w:color w:val="000000"/>
          <w:sz w:val="16"/>
          <w:szCs w:val="16"/>
        </w:rPr>
        <w:tab/>
        <w:t>Slichter SJ, Harker LA. Thrombocytopenia: mechanisms and management of defects in platelet production. Clin Haematol 1978;</w:t>
      </w:r>
      <w:r w:rsidRPr="000A2B23">
        <w:rPr>
          <w:rFonts w:ascii="Arial" w:eastAsia="Calibri" w:hAnsi="Arial" w:cs="Arial"/>
          <w:b/>
          <w:color w:val="000000"/>
          <w:sz w:val="16"/>
          <w:szCs w:val="16"/>
        </w:rPr>
        <w:t>7</w:t>
      </w:r>
      <w:r w:rsidRPr="000A2B23">
        <w:rPr>
          <w:rFonts w:ascii="Arial" w:eastAsia="Calibri" w:hAnsi="Arial" w:cs="Arial"/>
          <w:color w:val="000000"/>
          <w:sz w:val="16"/>
          <w:szCs w:val="16"/>
        </w:rPr>
        <w:t>: 523-39.</w:t>
      </w:r>
    </w:p>
    <w:p w14:paraId="4C1AB159"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28.</w:t>
      </w:r>
      <w:r w:rsidRPr="000A2B23">
        <w:rPr>
          <w:rFonts w:ascii="Arial" w:eastAsia="Calibri" w:hAnsi="Arial" w:cs="Arial"/>
          <w:color w:val="000000"/>
          <w:sz w:val="16"/>
          <w:szCs w:val="16"/>
        </w:rPr>
        <w:tab/>
        <w:t>Josephson CD, Granger S, Assmann SF, Castillejo MI, Strauss RG, Slichter SJ, Steiner ME, Journeycake JM, Thornburg CD, Bussel J, Grabowski EF, Neufeld EJ, Savage W, Sloan SR. Bleeding risks are higher in children versus adults given prophylactic platelet transfusions for treatment-induced hypoproliferative thrombocytopenia. Blood 2012;</w:t>
      </w:r>
      <w:r w:rsidRPr="000A2B23">
        <w:rPr>
          <w:rFonts w:ascii="Arial" w:eastAsia="Calibri" w:hAnsi="Arial" w:cs="Arial"/>
          <w:b/>
          <w:color w:val="000000"/>
          <w:sz w:val="16"/>
          <w:szCs w:val="16"/>
        </w:rPr>
        <w:t>120</w:t>
      </w:r>
      <w:r w:rsidRPr="000A2B23">
        <w:rPr>
          <w:rFonts w:ascii="Arial" w:eastAsia="Calibri" w:hAnsi="Arial" w:cs="Arial"/>
          <w:color w:val="000000"/>
          <w:sz w:val="16"/>
          <w:szCs w:val="16"/>
        </w:rPr>
        <w:t>: 748-60.</w:t>
      </w:r>
    </w:p>
    <w:p w14:paraId="37127EF8"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29.</w:t>
      </w:r>
      <w:r w:rsidRPr="000A2B23">
        <w:rPr>
          <w:rFonts w:ascii="Arial" w:eastAsia="Calibri" w:hAnsi="Arial" w:cs="Arial"/>
          <w:color w:val="000000"/>
          <w:sz w:val="16"/>
          <w:szCs w:val="16"/>
        </w:rPr>
        <w:tab/>
        <w:t>Estcourt LJ, Birchall J, Allard S, Bassey SJ, Hersey P, Kerr JP, Mumford AD, Stanworth SJ, Tinegate H. Guidelines for the use of platelet transfusions. Br J Haematol 2017;</w:t>
      </w:r>
      <w:r w:rsidRPr="000A2B23">
        <w:rPr>
          <w:rFonts w:ascii="Arial" w:eastAsia="Calibri" w:hAnsi="Arial" w:cs="Arial"/>
          <w:b/>
          <w:color w:val="000000"/>
          <w:sz w:val="16"/>
          <w:szCs w:val="16"/>
        </w:rPr>
        <w:t>176</w:t>
      </w:r>
      <w:r w:rsidRPr="000A2B23">
        <w:rPr>
          <w:rFonts w:ascii="Arial" w:eastAsia="Calibri" w:hAnsi="Arial" w:cs="Arial"/>
          <w:color w:val="000000"/>
          <w:sz w:val="16"/>
          <w:szCs w:val="16"/>
        </w:rPr>
        <w:t>: 365-94.</w:t>
      </w:r>
    </w:p>
    <w:p w14:paraId="5B9DCF8D"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30.</w:t>
      </w:r>
      <w:r w:rsidRPr="000A2B23">
        <w:rPr>
          <w:rFonts w:ascii="Arial" w:eastAsia="Calibri" w:hAnsi="Arial" w:cs="Arial"/>
          <w:color w:val="000000"/>
          <w:sz w:val="16"/>
          <w:szCs w:val="16"/>
        </w:rPr>
        <w:tab/>
        <w:t>Kaufman RM, Djulbegovic B, Gernsheimer T, Kleinman S, Tinmouth AT, Capocelli KE, Cipolle MD, Cohn CS, Fung MK, Grossman BJ, Mintz PD, O'Malley BA, Sesok-Pizzini DA, Shander A, Stack GE, Webert KE, Weinstein R, Welch BG, Whitman GJ, Wong EC, Tobian AA. Platelet transfusion: a clinical practice guideline from the AABB. Ann Intern Med 2015;</w:t>
      </w:r>
      <w:r w:rsidRPr="000A2B23">
        <w:rPr>
          <w:rFonts w:ascii="Arial" w:eastAsia="Calibri" w:hAnsi="Arial" w:cs="Arial"/>
          <w:b/>
          <w:color w:val="000000"/>
          <w:sz w:val="16"/>
          <w:szCs w:val="16"/>
        </w:rPr>
        <w:t>162</w:t>
      </w:r>
      <w:r w:rsidRPr="000A2B23">
        <w:rPr>
          <w:rFonts w:ascii="Arial" w:eastAsia="Calibri" w:hAnsi="Arial" w:cs="Arial"/>
          <w:color w:val="000000"/>
          <w:sz w:val="16"/>
          <w:szCs w:val="16"/>
        </w:rPr>
        <w:t>: 205-13.</w:t>
      </w:r>
    </w:p>
    <w:p w14:paraId="50303DCC"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31.</w:t>
      </w:r>
      <w:r w:rsidRPr="000A2B23">
        <w:rPr>
          <w:rFonts w:ascii="Arial" w:eastAsia="Calibri" w:hAnsi="Arial" w:cs="Arial"/>
          <w:color w:val="000000"/>
          <w:sz w:val="16"/>
          <w:szCs w:val="16"/>
        </w:rPr>
        <w:tab/>
        <w:t>Wong DK, Lurie F, Wong LL. The effects of clopidogrel on elderly traumatic brain injured patients. J Trauma 2008;</w:t>
      </w:r>
      <w:r w:rsidRPr="000A2B23">
        <w:rPr>
          <w:rFonts w:ascii="Arial" w:eastAsia="Calibri" w:hAnsi="Arial" w:cs="Arial"/>
          <w:b/>
          <w:color w:val="000000"/>
          <w:sz w:val="16"/>
          <w:szCs w:val="16"/>
        </w:rPr>
        <w:t>65</w:t>
      </w:r>
      <w:r w:rsidRPr="000A2B23">
        <w:rPr>
          <w:rFonts w:ascii="Arial" w:eastAsia="Calibri" w:hAnsi="Arial" w:cs="Arial"/>
          <w:color w:val="000000"/>
          <w:sz w:val="16"/>
          <w:szCs w:val="16"/>
        </w:rPr>
        <w:t>: 1303-8.</w:t>
      </w:r>
    </w:p>
    <w:p w14:paraId="65BF9253"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32.</w:t>
      </w:r>
      <w:r w:rsidRPr="000A2B23">
        <w:rPr>
          <w:rFonts w:ascii="Arial" w:eastAsia="Calibri" w:hAnsi="Arial" w:cs="Arial"/>
          <w:color w:val="000000"/>
          <w:sz w:val="16"/>
          <w:szCs w:val="16"/>
        </w:rPr>
        <w:tab/>
        <w:t>O'Connor SD, Taylor AJ, Williams EC, Winter TC. Coagulation concepts update. AJR Am J Roentgenol 2009;</w:t>
      </w:r>
      <w:r w:rsidRPr="000A2B23">
        <w:rPr>
          <w:rFonts w:ascii="Arial" w:eastAsia="Calibri" w:hAnsi="Arial" w:cs="Arial"/>
          <w:b/>
          <w:color w:val="000000"/>
          <w:sz w:val="16"/>
          <w:szCs w:val="16"/>
        </w:rPr>
        <w:t>193</w:t>
      </w:r>
      <w:r w:rsidRPr="000A2B23">
        <w:rPr>
          <w:rFonts w:ascii="Arial" w:eastAsia="Calibri" w:hAnsi="Arial" w:cs="Arial"/>
          <w:color w:val="000000"/>
          <w:sz w:val="16"/>
          <w:szCs w:val="16"/>
        </w:rPr>
        <w:t>: 1656-64.</w:t>
      </w:r>
    </w:p>
    <w:p w14:paraId="015D647B"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33.</w:t>
      </w:r>
      <w:r w:rsidRPr="000A2B23">
        <w:rPr>
          <w:rFonts w:ascii="Arial" w:eastAsia="Calibri" w:hAnsi="Arial" w:cs="Arial"/>
          <w:color w:val="000000"/>
          <w:sz w:val="16"/>
          <w:szCs w:val="16"/>
        </w:rPr>
        <w:tab/>
        <w:t>Lin Y, Foltz L. Proposed guidelines for platelet transfusion. BC Medical Journal 2005: 5.</w:t>
      </w:r>
    </w:p>
    <w:p w14:paraId="76E46C7E"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34.</w:t>
      </w:r>
      <w:r w:rsidRPr="000A2B23">
        <w:rPr>
          <w:rFonts w:ascii="Arial" w:eastAsia="Calibri" w:hAnsi="Arial" w:cs="Arial"/>
          <w:color w:val="000000"/>
          <w:sz w:val="16"/>
          <w:szCs w:val="16"/>
        </w:rPr>
        <w:tab/>
        <w:t>Vavricka SR, Walter RB, Irani S, Halter J, Schanz U. Safety of lumbar puncture for adults with acute leukemia and restrictive prophylactic platelet transfusion. Ann Hematol 2003;</w:t>
      </w:r>
      <w:r w:rsidRPr="000A2B23">
        <w:rPr>
          <w:rFonts w:ascii="Arial" w:eastAsia="Calibri" w:hAnsi="Arial" w:cs="Arial"/>
          <w:b/>
          <w:color w:val="000000"/>
          <w:sz w:val="16"/>
          <w:szCs w:val="16"/>
        </w:rPr>
        <w:t>82</w:t>
      </w:r>
      <w:r w:rsidRPr="000A2B23">
        <w:rPr>
          <w:rFonts w:ascii="Arial" w:eastAsia="Calibri" w:hAnsi="Arial" w:cs="Arial"/>
          <w:color w:val="000000"/>
          <w:sz w:val="16"/>
          <w:szCs w:val="16"/>
        </w:rPr>
        <w:t>: 570-3.</w:t>
      </w:r>
    </w:p>
    <w:p w14:paraId="34230540"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35.</w:t>
      </w:r>
      <w:r w:rsidRPr="000A2B23">
        <w:rPr>
          <w:rFonts w:ascii="Arial" w:eastAsia="Calibri" w:hAnsi="Arial" w:cs="Arial"/>
          <w:color w:val="000000"/>
          <w:sz w:val="16"/>
          <w:szCs w:val="16"/>
        </w:rPr>
        <w:tab/>
        <w:t>Anglin CO, Spence JS, Warner MA, Paliotta C, Harper C, Moore C, Sarode R, Madden C, Diaz-Arrastia R. Effects of platelet and plasma transfusion on outcome in traumatic brain injury patients with moderate bleeding diatheses. J Neurosurg 2013;</w:t>
      </w:r>
      <w:r w:rsidRPr="000A2B23">
        <w:rPr>
          <w:rFonts w:ascii="Arial" w:eastAsia="Calibri" w:hAnsi="Arial" w:cs="Arial"/>
          <w:b/>
          <w:color w:val="000000"/>
          <w:sz w:val="16"/>
          <w:szCs w:val="16"/>
        </w:rPr>
        <w:t>118</w:t>
      </w:r>
      <w:r w:rsidRPr="000A2B23">
        <w:rPr>
          <w:rFonts w:ascii="Arial" w:eastAsia="Calibri" w:hAnsi="Arial" w:cs="Arial"/>
          <w:color w:val="000000"/>
          <w:sz w:val="16"/>
          <w:szCs w:val="16"/>
        </w:rPr>
        <w:t>: 676-86.</w:t>
      </w:r>
    </w:p>
    <w:p w14:paraId="3E8D47C9"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36.</w:t>
      </w:r>
      <w:r w:rsidRPr="000A2B23">
        <w:rPr>
          <w:rFonts w:ascii="Arial" w:eastAsia="Calibri" w:hAnsi="Arial" w:cs="Arial"/>
          <w:color w:val="000000"/>
          <w:sz w:val="16"/>
          <w:szCs w:val="16"/>
        </w:rPr>
        <w:tab/>
        <w:t>Patel IJ, Davidson JC, Nikolic B, Salazar GM, Schwartzberg MS, Walker TG, Saad WA. Consensus guidelines for periprocedural management of coagulation status and hemostasis risk in percutaneous image-guided interventions. J Vasc Interv Radiol 2012;</w:t>
      </w:r>
      <w:r w:rsidRPr="000A2B23">
        <w:rPr>
          <w:rFonts w:ascii="Arial" w:eastAsia="Calibri" w:hAnsi="Arial" w:cs="Arial"/>
          <w:b/>
          <w:color w:val="000000"/>
          <w:sz w:val="16"/>
          <w:szCs w:val="16"/>
        </w:rPr>
        <w:t>23</w:t>
      </w:r>
      <w:r w:rsidRPr="000A2B23">
        <w:rPr>
          <w:rFonts w:ascii="Arial" w:eastAsia="Calibri" w:hAnsi="Arial" w:cs="Arial"/>
          <w:color w:val="000000"/>
          <w:sz w:val="16"/>
          <w:szCs w:val="16"/>
        </w:rPr>
        <w:t>: 727-36.</w:t>
      </w:r>
    </w:p>
    <w:p w14:paraId="4D07B433"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37.</w:t>
      </w:r>
      <w:r w:rsidRPr="000A2B23">
        <w:rPr>
          <w:rFonts w:ascii="Arial" w:eastAsia="Calibri" w:hAnsi="Arial" w:cs="Arial"/>
          <w:color w:val="000000"/>
          <w:sz w:val="16"/>
          <w:szCs w:val="16"/>
        </w:rPr>
        <w:tab/>
        <w:t>Creutzfeldt CJ, Weinstein JR, Longstreth WT, Jr., Becker KJ, McPharlin TO, Tirschwell DL. Prior antiplatelet therapy, platelet infusion therapy, and outcome after intracerebral hemorrhage. J Stroke Cerebrovasc Dis 2009;</w:t>
      </w:r>
      <w:r w:rsidRPr="000A2B23">
        <w:rPr>
          <w:rFonts w:ascii="Arial" w:eastAsia="Calibri" w:hAnsi="Arial" w:cs="Arial"/>
          <w:b/>
          <w:color w:val="000000"/>
          <w:sz w:val="16"/>
          <w:szCs w:val="16"/>
        </w:rPr>
        <w:t>18</w:t>
      </w:r>
      <w:r w:rsidRPr="000A2B23">
        <w:rPr>
          <w:rFonts w:ascii="Arial" w:eastAsia="Calibri" w:hAnsi="Arial" w:cs="Arial"/>
          <w:color w:val="000000"/>
          <w:sz w:val="16"/>
          <w:szCs w:val="16"/>
        </w:rPr>
        <w:t>: 221-8.</w:t>
      </w:r>
    </w:p>
    <w:p w14:paraId="3B98DBA0"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38.</w:t>
      </w:r>
      <w:r w:rsidRPr="000A2B23">
        <w:rPr>
          <w:rFonts w:ascii="Arial" w:eastAsia="Calibri" w:hAnsi="Arial" w:cs="Arial"/>
          <w:color w:val="000000"/>
          <w:sz w:val="16"/>
          <w:szCs w:val="16"/>
        </w:rPr>
        <w:tab/>
        <w:t>Downey DM, Monson B, Butler KL, Fortuna GR, Jr., Saxe JM, Dolan JP, Markert RJ, McCarthy MC. Does platelet administration affect mortality in elderly head-injured patients taking antiplatelet medications? Am Surg 2009;</w:t>
      </w:r>
      <w:r w:rsidRPr="000A2B23">
        <w:rPr>
          <w:rFonts w:ascii="Arial" w:eastAsia="Calibri" w:hAnsi="Arial" w:cs="Arial"/>
          <w:b/>
          <w:color w:val="000000"/>
          <w:sz w:val="16"/>
          <w:szCs w:val="16"/>
        </w:rPr>
        <w:t>75</w:t>
      </w:r>
      <w:r w:rsidRPr="000A2B23">
        <w:rPr>
          <w:rFonts w:ascii="Arial" w:eastAsia="Calibri" w:hAnsi="Arial" w:cs="Arial"/>
          <w:color w:val="000000"/>
          <w:sz w:val="16"/>
          <w:szCs w:val="16"/>
        </w:rPr>
        <w:t>: 1100-3.</w:t>
      </w:r>
    </w:p>
    <w:p w14:paraId="722E4D75"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39.</w:t>
      </w:r>
      <w:r w:rsidRPr="000A2B23">
        <w:rPr>
          <w:rFonts w:ascii="Arial" w:eastAsia="Calibri" w:hAnsi="Arial" w:cs="Arial"/>
          <w:color w:val="000000"/>
          <w:sz w:val="16"/>
          <w:szCs w:val="16"/>
        </w:rPr>
        <w:tab/>
        <w:t>Ivascu FA, Howells GA, Junn FS, Bair HA, Bendick PJ, Janczyk RJ. Predictors of mortality in trauma patients with intracranial hemorrhage on preinjury aspirin or clopidogrel. J Trauma 2008;</w:t>
      </w:r>
      <w:r w:rsidRPr="000A2B23">
        <w:rPr>
          <w:rFonts w:ascii="Arial" w:eastAsia="Calibri" w:hAnsi="Arial" w:cs="Arial"/>
          <w:b/>
          <w:color w:val="000000"/>
          <w:sz w:val="16"/>
          <w:szCs w:val="16"/>
        </w:rPr>
        <w:t>65</w:t>
      </w:r>
      <w:r w:rsidRPr="000A2B23">
        <w:rPr>
          <w:rFonts w:ascii="Arial" w:eastAsia="Calibri" w:hAnsi="Arial" w:cs="Arial"/>
          <w:color w:val="000000"/>
          <w:sz w:val="16"/>
          <w:szCs w:val="16"/>
        </w:rPr>
        <w:t>: 785-8.</w:t>
      </w:r>
    </w:p>
    <w:p w14:paraId="755E7484"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40.</w:t>
      </w:r>
      <w:r w:rsidRPr="000A2B23">
        <w:rPr>
          <w:rFonts w:ascii="Arial" w:eastAsia="Calibri" w:hAnsi="Arial" w:cs="Arial"/>
          <w:color w:val="000000"/>
          <w:sz w:val="16"/>
          <w:szCs w:val="16"/>
        </w:rPr>
        <w:tab/>
        <w:t>Szczepiorkowski ZM, Dunbar NM. Transfusion guidelines: when to transfuse. Hematology Am Soc Hematol Educ Program 2013;</w:t>
      </w:r>
      <w:r w:rsidRPr="000A2B23">
        <w:rPr>
          <w:rFonts w:ascii="Arial" w:eastAsia="Calibri" w:hAnsi="Arial" w:cs="Arial"/>
          <w:b/>
          <w:color w:val="000000"/>
          <w:sz w:val="16"/>
          <w:szCs w:val="16"/>
        </w:rPr>
        <w:t>2013</w:t>
      </w:r>
      <w:r w:rsidRPr="000A2B23">
        <w:rPr>
          <w:rFonts w:ascii="Arial" w:eastAsia="Calibri" w:hAnsi="Arial" w:cs="Arial"/>
          <w:color w:val="000000"/>
          <w:sz w:val="16"/>
          <w:szCs w:val="16"/>
        </w:rPr>
        <w:t>: 638-44.</w:t>
      </w:r>
    </w:p>
    <w:p w14:paraId="43A8E543"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41.</w:t>
      </w:r>
      <w:r w:rsidRPr="000A2B23">
        <w:rPr>
          <w:rFonts w:ascii="Arial" w:eastAsia="Calibri" w:hAnsi="Arial" w:cs="Arial"/>
          <w:color w:val="000000"/>
          <w:sz w:val="16"/>
          <w:szCs w:val="16"/>
        </w:rPr>
        <w:tab/>
        <w:t>Kim JH, Baek CH, Min JY, Kim JS, Kim SB, Kim H. Desmopressin improves platelet function in uremic patients taking antiplatelet agents who require emergent invasive procedures. Ann Hematol 2015;</w:t>
      </w:r>
      <w:r w:rsidRPr="000A2B23">
        <w:rPr>
          <w:rFonts w:ascii="Arial" w:eastAsia="Calibri" w:hAnsi="Arial" w:cs="Arial"/>
          <w:b/>
          <w:color w:val="000000"/>
          <w:sz w:val="16"/>
          <w:szCs w:val="16"/>
        </w:rPr>
        <w:t>94</w:t>
      </w:r>
      <w:r w:rsidRPr="000A2B23">
        <w:rPr>
          <w:rFonts w:ascii="Arial" w:eastAsia="Calibri" w:hAnsi="Arial" w:cs="Arial"/>
          <w:color w:val="000000"/>
          <w:sz w:val="16"/>
          <w:szCs w:val="16"/>
        </w:rPr>
        <w:t>: 1457-61.</w:t>
      </w:r>
    </w:p>
    <w:p w14:paraId="4170182D"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42.</w:t>
      </w:r>
      <w:r w:rsidRPr="000A2B23">
        <w:rPr>
          <w:rFonts w:ascii="Arial" w:eastAsia="Calibri" w:hAnsi="Arial" w:cs="Arial"/>
          <w:color w:val="000000"/>
          <w:sz w:val="16"/>
          <w:szCs w:val="16"/>
        </w:rPr>
        <w:tab/>
        <w:t>Frontera JA, Lewin JJ, 3rd, Rabinstein AA, Aisiku IP, Alexandrov AW, Cook AM, Del Zoppo GJ, Kumar M, Peerschke EI, Stiefel MF, Teitelbaum JS, Wartenberg KE, Zerfoss CL. Guideline for Reversal of Antithrombotics in Intracranial Hemorrhage: Executive Summary. A Statement for Healthcare Professionals From the Neurocritical Care Society and the Society of Critical Care Medicine. Crit Care Med 2016;</w:t>
      </w:r>
      <w:r w:rsidRPr="000A2B23">
        <w:rPr>
          <w:rFonts w:ascii="Arial" w:eastAsia="Calibri" w:hAnsi="Arial" w:cs="Arial"/>
          <w:b/>
          <w:color w:val="000000"/>
          <w:sz w:val="16"/>
          <w:szCs w:val="16"/>
        </w:rPr>
        <w:t>44</w:t>
      </w:r>
      <w:r w:rsidRPr="000A2B23">
        <w:rPr>
          <w:rFonts w:ascii="Arial" w:eastAsia="Calibri" w:hAnsi="Arial" w:cs="Arial"/>
          <w:color w:val="000000"/>
          <w:sz w:val="16"/>
          <w:szCs w:val="16"/>
        </w:rPr>
        <w:t>: 2251-7.</w:t>
      </w:r>
    </w:p>
    <w:p w14:paraId="045C5237"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43.</w:t>
      </w:r>
      <w:r w:rsidRPr="000A2B23">
        <w:rPr>
          <w:rFonts w:ascii="Arial" w:eastAsia="Calibri" w:hAnsi="Arial" w:cs="Arial"/>
          <w:color w:val="000000"/>
          <w:sz w:val="16"/>
          <w:szCs w:val="16"/>
        </w:rPr>
        <w:tab/>
        <w:t>McCullough J. Overview of platelet transfusion. Semin Hematol 2010;</w:t>
      </w:r>
      <w:r w:rsidRPr="000A2B23">
        <w:rPr>
          <w:rFonts w:ascii="Arial" w:eastAsia="Calibri" w:hAnsi="Arial" w:cs="Arial"/>
          <w:b/>
          <w:color w:val="000000"/>
          <w:sz w:val="16"/>
          <w:szCs w:val="16"/>
        </w:rPr>
        <w:t>47</w:t>
      </w:r>
      <w:r w:rsidRPr="000A2B23">
        <w:rPr>
          <w:rFonts w:ascii="Arial" w:eastAsia="Calibri" w:hAnsi="Arial" w:cs="Arial"/>
          <w:color w:val="000000"/>
          <w:sz w:val="16"/>
          <w:szCs w:val="16"/>
        </w:rPr>
        <w:t>: 235-42.</w:t>
      </w:r>
    </w:p>
    <w:p w14:paraId="64CAAF9E"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44.</w:t>
      </w:r>
      <w:r w:rsidRPr="000A2B23">
        <w:rPr>
          <w:rFonts w:ascii="Arial" w:eastAsia="Calibri" w:hAnsi="Arial" w:cs="Arial"/>
          <w:color w:val="000000"/>
          <w:sz w:val="16"/>
          <w:szCs w:val="16"/>
        </w:rPr>
        <w:tab/>
        <w:t>Norfolk D. Handbook on Transfusion Medicine. 5th ed: United Kingdom Blood Services, 2014.</w:t>
      </w:r>
    </w:p>
    <w:p w14:paraId="4EC01D9C" w14:textId="77777777" w:rsidR="009D5CEF" w:rsidRPr="000A2B23" w:rsidRDefault="0000000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45.</w:t>
      </w:r>
      <w:r w:rsidRPr="000A2B23">
        <w:rPr>
          <w:rFonts w:ascii="Arial" w:eastAsia="Calibri" w:hAnsi="Arial" w:cs="Arial"/>
          <w:color w:val="000000"/>
          <w:sz w:val="16"/>
          <w:szCs w:val="16"/>
        </w:rPr>
        <w:tab/>
        <w:t>de Gans K, de Haan RJ, Majoie CB, Koopman MM, Brand A, Dijkgraaf MG, Vermeulen M, Roos YB. PATCH: platelet transfusion in cerebral haemorrhage: study protocol for a multicentre, randomised, controlled trial. BMC Neurol 2010;</w:t>
      </w:r>
      <w:r w:rsidRPr="000A2B23">
        <w:rPr>
          <w:rFonts w:ascii="Arial" w:eastAsia="Calibri" w:hAnsi="Arial" w:cs="Arial"/>
          <w:b/>
          <w:color w:val="000000"/>
          <w:sz w:val="16"/>
          <w:szCs w:val="16"/>
        </w:rPr>
        <w:t>10</w:t>
      </w:r>
      <w:r w:rsidRPr="000A2B23">
        <w:rPr>
          <w:rFonts w:ascii="Arial" w:eastAsia="Calibri" w:hAnsi="Arial" w:cs="Arial"/>
          <w:color w:val="000000"/>
          <w:sz w:val="16"/>
          <w:szCs w:val="16"/>
        </w:rPr>
        <w:t>: 19.</w:t>
      </w:r>
    </w:p>
    <w:p w14:paraId="24EBCCDA" w14:textId="2167502F" w:rsidR="009D5CEF" w:rsidRPr="00EE5980" w:rsidRDefault="00000000" w:rsidP="00EE5980">
      <w:pPr>
        <w:pBdr>
          <w:top w:val="nil"/>
          <w:left w:val="nil"/>
          <w:bottom w:val="nil"/>
          <w:right w:val="nil"/>
          <w:between w:val="nil"/>
        </w:pBdr>
        <w:ind w:left="720" w:hanging="720"/>
        <w:rPr>
          <w:rFonts w:ascii="Arial" w:eastAsia="Calibri" w:hAnsi="Arial" w:cs="Arial"/>
          <w:color w:val="000000"/>
          <w:sz w:val="16"/>
          <w:szCs w:val="16"/>
        </w:rPr>
      </w:pPr>
      <w:r w:rsidRPr="000A2B23">
        <w:rPr>
          <w:rFonts w:ascii="Arial" w:eastAsia="Calibri" w:hAnsi="Arial" w:cs="Arial"/>
          <w:color w:val="000000"/>
          <w:sz w:val="16"/>
          <w:szCs w:val="16"/>
        </w:rPr>
        <w:t>46.</w:t>
      </w:r>
      <w:r w:rsidRPr="000A2B23">
        <w:rPr>
          <w:rFonts w:ascii="Arial" w:eastAsia="Calibri" w:hAnsi="Arial" w:cs="Arial"/>
          <w:color w:val="000000"/>
          <w:sz w:val="16"/>
          <w:szCs w:val="16"/>
        </w:rPr>
        <w:tab/>
        <w:t>Baharoglu MI, Cordonnier C, Al-Shahi Salman R, de Gans K, Koopman MM, Brand A, Majoie CB, Beenen LF, Marquering HA, Vermeulen M, Nederkoorn PJ, de Haan RJ, Roos YB. Platelet transfusion versus standard care after acute stroke due to spontaneous cerebral haemorrhage associated with antiplatelet therapy (PATCH): a randomised, open-label, phase 3 trial. Lancet 2016;</w:t>
      </w:r>
      <w:r w:rsidRPr="000A2B23">
        <w:rPr>
          <w:rFonts w:ascii="Arial" w:eastAsia="Calibri" w:hAnsi="Arial" w:cs="Arial"/>
          <w:b/>
          <w:color w:val="000000"/>
          <w:sz w:val="16"/>
          <w:szCs w:val="16"/>
        </w:rPr>
        <w:t>387</w:t>
      </w:r>
      <w:r w:rsidRPr="000A2B23">
        <w:rPr>
          <w:rFonts w:ascii="Arial" w:eastAsia="Calibri" w:hAnsi="Arial" w:cs="Arial"/>
          <w:color w:val="000000"/>
          <w:sz w:val="16"/>
          <w:szCs w:val="16"/>
        </w:rPr>
        <w:t>: 2605-13.</w:t>
      </w:r>
    </w:p>
    <w:sectPr w:rsidR="009D5CEF" w:rsidRPr="00EE5980">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494C" w14:textId="77777777" w:rsidR="002C0E6B" w:rsidRDefault="002C0E6B">
      <w:r>
        <w:separator/>
      </w:r>
    </w:p>
  </w:endnote>
  <w:endnote w:type="continuationSeparator" w:id="0">
    <w:p w14:paraId="247DAEC4" w14:textId="77777777" w:rsidR="002C0E6B" w:rsidRDefault="002C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E2BD" w14:textId="77777777" w:rsidR="009D5CEF" w:rsidRDefault="009D5CEF">
    <w:pPr>
      <w:pBdr>
        <w:top w:val="nil"/>
        <w:left w:val="nil"/>
        <w:bottom w:val="nil"/>
        <w:right w:val="nil"/>
        <w:between w:val="nil"/>
      </w:pBdr>
      <w:tabs>
        <w:tab w:val="center" w:pos="4320"/>
        <w:tab w:val="right" w:pos="8640"/>
      </w:tabs>
      <w:rPr>
        <w:rFonts w:ascii="Arial" w:eastAsia="Arial" w:hAnsi="Arial" w:cs="Arial"/>
        <w:b/>
        <w:i/>
        <w:color w:val="000000"/>
        <w:sz w:val="16"/>
        <w:szCs w:val="16"/>
      </w:rPr>
    </w:pPr>
  </w:p>
  <w:p w14:paraId="68DD3437" w14:textId="77777777" w:rsidR="009D5CEF" w:rsidRDefault="009D5CEF">
    <w:pPr>
      <w:pBdr>
        <w:top w:val="nil"/>
        <w:left w:val="nil"/>
        <w:bottom w:val="nil"/>
        <w:right w:val="nil"/>
        <w:between w:val="nil"/>
      </w:pBdr>
      <w:tabs>
        <w:tab w:val="center" w:pos="4320"/>
        <w:tab w:val="right" w:pos="8640"/>
      </w:tabs>
      <w:jc w:val="right"/>
      <w:rPr>
        <w:rFonts w:ascii="Arial" w:eastAsia="Arial" w:hAnsi="Arial" w:cs="Arial"/>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172B" w14:textId="77777777" w:rsidR="009D5CEF" w:rsidRDefault="00000000">
    <w:pPr>
      <w:pBdr>
        <w:top w:val="nil"/>
        <w:left w:val="nil"/>
        <w:bottom w:val="nil"/>
        <w:right w:val="nil"/>
        <w:between w:val="nil"/>
      </w:pBdr>
      <w:tabs>
        <w:tab w:val="center" w:pos="4320"/>
        <w:tab w:val="right" w:pos="8640"/>
      </w:tabs>
      <w:jc w:val="right"/>
      <w:rPr>
        <w:rFonts w:cs="Cambria"/>
        <w:color w:val="000000"/>
      </w:rPr>
    </w:pPr>
    <w:r>
      <w:rPr>
        <w:rFonts w:cs="Cambria"/>
        <w:color w:val="000000"/>
      </w:rPr>
      <w:t>PBM160927</w:t>
    </w:r>
  </w:p>
  <w:p w14:paraId="5B847455" w14:textId="77777777" w:rsidR="009D5CEF" w:rsidRDefault="009D5CEF">
    <w:pPr>
      <w:pBdr>
        <w:top w:val="nil"/>
        <w:left w:val="nil"/>
        <w:bottom w:val="nil"/>
        <w:right w:val="nil"/>
        <w:between w:val="nil"/>
      </w:pBdr>
      <w:tabs>
        <w:tab w:val="center" w:pos="4320"/>
        <w:tab w:val="right" w:pos="8640"/>
      </w:tabs>
      <w:rPr>
        <w:rFonts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1AEA" w14:textId="77777777" w:rsidR="002C0E6B" w:rsidRDefault="002C0E6B">
      <w:r>
        <w:separator/>
      </w:r>
    </w:p>
  </w:footnote>
  <w:footnote w:type="continuationSeparator" w:id="0">
    <w:p w14:paraId="5A05493A" w14:textId="77777777" w:rsidR="002C0E6B" w:rsidRDefault="002C0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235A" w14:textId="77777777" w:rsidR="009D5CEF" w:rsidRDefault="009D5CEF">
    <w:pPr>
      <w:pBdr>
        <w:top w:val="nil"/>
        <w:left w:val="nil"/>
        <w:bottom w:val="nil"/>
        <w:right w:val="nil"/>
        <w:between w:val="nil"/>
      </w:pBdr>
      <w:tabs>
        <w:tab w:val="center" w:pos="4320"/>
        <w:tab w:val="right" w:pos="8640"/>
      </w:tabs>
      <w:rPr>
        <w:rFonts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7A0E" w14:textId="77777777" w:rsidR="009D5CEF" w:rsidRDefault="00000000">
    <w:pPr>
      <w:pBdr>
        <w:top w:val="nil"/>
        <w:left w:val="nil"/>
        <w:bottom w:val="nil"/>
        <w:right w:val="nil"/>
        <w:between w:val="nil"/>
      </w:pBdr>
      <w:tabs>
        <w:tab w:val="center" w:pos="4320"/>
        <w:tab w:val="right" w:pos="8640"/>
      </w:tabs>
      <w:ind w:left="180" w:hanging="180"/>
      <w:rPr>
        <w:rFonts w:cs="Cambria"/>
        <w:color w:val="000000"/>
      </w:rPr>
    </w:pPr>
    <w:r>
      <w:rPr>
        <w:rFonts w:cs="Cambria"/>
        <w:color w:val="000000"/>
        <w:sz w:val="24"/>
        <w:szCs w:val="24"/>
      </w:rPr>
      <w:t xml:space="preserve"> </w:t>
    </w:r>
    <w:r>
      <w:rPr>
        <w:noProof/>
      </w:rPr>
      <mc:AlternateContent>
        <mc:Choice Requires="wpg">
          <w:drawing>
            <wp:anchor distT="0" distB="0" distL="114300" distR="114300" simplePos="0" relativeHeight="251658240" behindDoc="0" locked="0" layoutInCell="1" hidden="0" allowOverlap="1" wp14:anchorId="62178C8D" wp14:editId="3C77D9C2">
              <wp:simplePos x="0" y="0"/>
              <wp:positionH relativeFrom="column">
                <wp:posOffset>-457199</wp:posOffset>
              </wp:positionH>
              <wp:positionV relativeFrom="paragraph">
                <wp:posOffset>-444499</wp:posOffset>
              </wp:positionV>
              <wp:extent cx="7781925" cy="695325"/>
              <wp:effectExtent l="0" t="0" r="0" b="0"/>
              <wp:wrapNone/>
              <wp:docPr id="16" name="Rectangle 16"/>
              <wp:cNvGraphicFramePr/>
              <a:graphic xmlns:a="http://schemas.openxmlformats.org/drawingml/2006/main">
                <a:graphicData uri="http://schemas.microsoft.com/office/word/2010/wordprocessingShape">
                  <wps:wsp>
                    <wps:cNvSpPr/>
                    <wps:spPr>
                      <a:xfrm>
                        <a:off x="1459800" y="3437100"/>
                        <a:ext cx="7772400" cy="685800"/>
                      </a:xfrm>
                      <a:prstGeom prst="rect">
                        <a:avLst/>
                      </a:prstGeom>
                      <a:solidFill>
                        <a:srgbClr val="47B2E8"/>
                      </a:solidFill>
                      <a:ln>
                        <a:noFill/>
                      </a:ln>
                    </wps:spPr>
                    <wps:txbx>
                      <w:txbxContent>
                        <w:p w14:paraId="1D743637" w14:textId="77777777" w:rsidR="009D5CEF" w:rsidRDefault="009D5CEF">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-457199</wp:posOffset>
              </wp:positionH>
              <wp:positionV relativeFrom="paragraph">
                <wp:posOffset>-444499</wp:posOffset>
              </wp:positionV>
              <wp:extent cx="7781925" cy="695325"/>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81925" cy="6953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5CE9CDD4" wp14:editId="108A1C81">
          <wp:simplePos x="0" y="0"/>
          <wp:positionH relativeFrom="column">
            <wp:posOffset>5143500</wp:posOffset>
          </wp:positionH>
          <wp:positionV relativeFrom="paragraph">
            <wp:posOffset>24130</wp:posOffset>
          </wp:positionV>
          <wp:extent cx="1598930" cy="31940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98930" cy="3194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7C1E"/>
    <w:multiLevelType w:val="multilevel"/>
    <w:tmpl w:val="D34C95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1ED287A"/>
    <w:multiLevelType w:val="multilevel"/>
    <w:tmpl w:val="1570C32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A38542B"/>
    <w:multiLevelType w:val="multilevel"/>
    <w:tmpl w:val="73DAF4E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AE01F6"/>
    <w:multiLevelType w:val="multilevel"/>
    <w:tmpl w:val="DB88A4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F7B7363"/>
    <w:multiLevelType w:val="multilevel"/>
    <w:tmpl w:val="F9327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057910"/>
    <w:multiLevelType w:val="multilevel"/>
    <w:tmpl w:val="434C1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4567575">
    <w:abstractNumId w:val="5"/>
  </w:num>
  <w:num w:numId="2" w16cid:durableId="1953396955">
    <w:abstractNumId w:val="2"/>
  </w:num>
  <w:num w:numId="3" w16cid:durableId="2089225880">
    <w:abstractNumId w:val="0"/>
  </w:num>
  <w:num w:numId="4" w16cid:durableId="1667399225">
    <w:abstractNumId w:val="1"/>
  </w:num>
  <w:num w:numId="5" w16cid:durableId="677922583">
    <w:abstractNumId w:val="3"/>
  </w:num>
  <w:num w:numId="6" w16cid:durableId="1125974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EF"/>
    <w:rsid w:val="000A2B23"/>
    <w:rsid w:val="002C0E6B"/>
    <w:rsid w:val="009D5CEF"/>
    <w:rsid w:val="00CF5E19"/>
    <w:rsid w:val="00E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712F3"/>
  <w15:docId w15:val="{F62B5AB3-11F6-D241-BB36-B1632878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CC"/>
    <w:rPr>
      <w:rFonts w:cs="Times New Roman"/>
    </w:rPr>
  </w:style>
  <w:style w:type="paragraph" w:styleId="Heading1">
    <w:name w:val="heading 1"/>
    <w:basedOn w:val="Normal"/>
    <w:next w:val="Normal"/>
    <w:link w:val="Heading1Char"/>
    <w:uiPriority w:val="9"/>
    <w:qFormat/>
    <w:rsid w:val="00E972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72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A257CC"/>
  </w:style>
  <w:style w:type="character" w:styleId="Hyperlink">
    <w:name w:val="Hyperlink"/>
    <w:uiPriority w:val="99"/>
    <w:unhideWhenUsed/>
    <w:rsid w:val="00A257CC"/>
    <w:rPr>
      <w:color w:val="0000FF"/>
      <w:u w:val="single"/>
    </w:rPr>
  </w:style>
  <w:style w:type="character" w:styleId="UnresolvedMention">
    <w:name w:val="Unresolved Mention"/>
    <w:basedOn w:val="DefaultParagraphFont"/>
    <w:uiPriority w:val="99"/>
    <w:semiHidden/>
    <w:unhideWhenUsed/>
    <w:rsid w:val="00A257CC"/>
    <w:rPr>
      <w:color w:val="605E5C"/>
      <w:shd w:val="clear" w:color="auto" w:fill="E1DFDD"/>
    </w:rPr>
  </w:style>
  <w:style w:type="paragraph" w:styleId="Header">
    <w:name w:val="header"/>
    <w:basedOn w:val="Normal"/>
    <w:link w:val="HeaderChar"/>
    <w:uiPriority w:val="99"/>
    <w:unhideWhenUsed/>
    <w:rsid w:val="0009759A"/>
    <w:pPr>
      <w:tabs>
        <w:tab w:val="center" w:pos="4320"/>
        <w:tab w:val="right" w:pos="8640"/>
      </w:tabs>
    </w:pPr>
  </w:style>
  <w:style w:type="character" w:customStyle="1" w:styleId="HeaderChar">
    <w:name w:val="Header Char"/>
    <w:basedOn w:val="DefaultParagraphFont"/>
    <w:link w:val="Header"/>
    <w:uiPriority w:val="99"/>
    <w:rsid w:val="0009759A"/>
    <w:rPr>
      <w:rFonts w:ascii="Cambria" w:eastAsia="Cambria" w:hAnsi="Cambria" w:cs="Times New Roman"/>
    </w:rPr>
  </w:style>
  <w:style w:type="paragraph" w:styleId="Footer">
    <w:name w:val="footer"/>
    <w:basedOn w:val="Normal"/>
    <w:link w:val="FooterChar"/>
    <w:uiPriority w:val="99"/>
    <w:unhideWhenUsed/>
    <w:rsid w:val="0009759A"/>
    <w:pPr>
      <w:tabs>
        <w:tab w:val="center" w:pos="4320"/>
        <w:tab w:val="right" w:pos="8640"/>
      </w:tabs>
    </w:pPr>
  </w:style>
  <w:style w:type="character" w:customStyle="1" w:styleId="FooterChar">
    <w:name w:val="Footer Char"/>
    <w:basedOn w:val="DefaultParagraphFont"/>
    <w:link w:val="Footer"/>
    <w:uiPriority w:val="99"/>
    <w:rsid w:val="0009759A"/>
    <w:rPr>
      <w:rFonts w:ascii="Cambria" w:eastAsia="Cambria" w:hAnsi="Cambria" w:cs="Times New Roman"/>
    </w:rPr>
  </w:style>
  <w:style w:type="paragraph" w:customStyle="1" w:styleId="EndNoteBibliographyTitle">
    <w:name w:val="EndNote Bibliography Title"/>
    <w:basedOn w:val="Normal"/>
    <w:link w:val="EndNoteBibliographyTitleChar"/>
    <w:rsid w:val="000843DB"/>
    <w:pPr>
      <w:jc w:val="center"/>
    </w:pPr>
    <w:rPr>
      <w:noProof/>
    </w:rPr>
  </w:style>
  <w:style w:type="character" w:customStyle="1" w:styleId="ListParagraphChar">
    <w:name w:val="List Paragraph Char"/>
    <w:basedOn w:val="DefaultParagraphFont"/>
    <w:link w:val="ListParagraph"/>
    <w:uiPriority w:val="34"/>
    <w:rsid w:val="000843DB"/>
    <w:rPr>
      <w:rFonts w:ascii="Cambria" w:eastAsia="Cambria" w:hAnsi="Cambria" w:cs="Times New Roman"/>
    </w:rPr>
  </w:style>
  <w:style w:type="character" w:customStyle="1" w:styleId="EndNoteBibliographyTitleChar">
    <w:name w:val="EndNote Bibliography Title Char"/>
    <w:basedOn w:val="ListParagraphChar"/>
    <w:link w:val="EndNoteBibliographyTitle"/>
    <w:rsid w:val="000843DB"/>
    <w:rPr>
      <w:rFonts w:ascii="Cambria" w:eastAsia="Cambria" w:hAnsi="Cambria" w:cs="Times New Roman"/>
      <w:noProof/>
    </w:rPr>
  </w:style>
  <w:style w:type="paragraph" w:customStyle="1" w:styleId="EndNoteBibliography">
    <w:name w:val="EndNote Bibliography"/>
    <w:basedOn w:val="Normal"/>
    <w:link w:val="EndNoteBibliographyChar"/>
    <w:rsid w:val="000843DB"/>
    <w:rPr>
      <w:noProof/>
    </w:rPr>
  </w:style>
  <w:style w:type="character" w:customStyle="1" w:styleId="EndNoteBibliographyChar">
    <w:name w:val="EndNote Bibliography Char"/>
    <w:basedOn w:val="ListParagraphChar"/>
    <w:link w:val="EndNoteBibliography"/>
    <w:rsid w:val="000843DB"/>
    <w:rPr>
      <w:rFonts w:ascii="Cambria" w:eastAsia="Cambria" w:hAnsi="Cambria" w:cs="Times New Roman"/>
      <w:noProof/>
    </w:rPr>
  </w:style>
  <w:style w:type="character" w:customStyle="1" w:styleId="Heading1Char">
    <w:name w:val="Heading 1 Char"/>
    <w:basedOn w:val="DefaultParagraphFont"/>
    <w:link w:val="Heading1"/>
    <w:uiPriority w:val="9"/>
    <w:rsid w:val="00E972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7239"/>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6KQbpKT1Y2tcvrhPCQJV02AT6Q==">CgMxLjAyCGguZ2pkZ3hzMgloLjMwajB6bGwyCWguMWZvYjl0ZTIJaC4zem55c2g3MgloLjJldDkycDAyCGgudHlqY3d0OAByITFBWEJoc3c5WUFSS1o4emV6TzRwUW9BQVJCY2drVC1SUQ==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2252</Words>
  <Characters>12841</Characters>
  <Application>Microsoft Office Word</Application>
  <DocSecurity>0</DocSecurity>
  <Lines>107</Lines>
  <Paragraphs>30</Paragraphs>
  <ScaleCrop>false</ScaleCrop>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Thomas</dc:creator>
  <cp:lastModifiedBy>Brinson, Jennifer</cp:lastModifiedBy>
  <cp:revision>3</cp:revision>
  <dcterms:created xsi:type="dcterms:W3CDTF">2023-05-30T17:34:00Z</dcterms:created>
  <dcterms:modified xsi:type="dcterms:W3CDTF">2023-08-10T20:11:00Z</dcterms:modified>
</cp:coreProperties>
</file>